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2110322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R5-246514</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4699</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 w:name="_Hlt497126619"/>
            <w:r>
              <w:rPr>
                <w:rStyle w:val="70"/>
                <w:rFonts w:cs="Arial"/>
                <w:b/>
                <w:i/>
                <w:color w:val="FF0000"/>
              </w:rPr>
              <w:t>L</w:t>
            </w:r>
            <w:bookmarkEnd w:id="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TCs 6.5.3.1, 6.5.3.2, 6.5.3.4, 6.5.3.5, and 6.5.3.7 for step number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NG_RAN_PRN_enh_plus_CT-UEConTest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rPr>
            </w:pPr>
            <w:r>
              <w:rPr>
                <w:rFonts w:hint="eastAsia" w:eastAsia="宋体"/>
                <w:lang w:val="en-US" w:eastAsia="zh-CN"/>
              </w:rPr>
              <w:t>1.</w:t>
            </w:r>
            <w:r>
              <w:rPr>
                <w:rFonts w:hint="eastAsia"/>
              </w:rPr>
              <w:t>The</w:t>
            </w:r>
            <w:r>
              <w:rPr>
                <w:rFonts w:hint="eastAsia" w:eastAsia="宋体"/>
                <w:lang w:val="en-US" w:eastAsia="zh-CN"/>
              </w:rPr>
              <w:t>re are some incorrect</w:t>
            </w:r>
            <w:r>
              <w:rPr>
                <w:rFonts w:hint="eastAsia"/>
              </w:rPr>
              <w:t xml:space="preserve"> last local step number</w:t>
            </w:r>
            <w:r>
              <w:rPr>
                <w:rFonts w:hint="eastAsia" w:eastAsia="宋体"/>
                <w:lang w:val="en-US" w:eastAsia="zh-CN"/>
              </w:rPr>
              <w:t>s</w:t>
            </w:r>
            <w:r>
              <w:rPr>
                <w:rFonts w:hint="eastAsia"/>
              </w:rPr>
              <w:t xml:space="preserve"> translated from referenced step</w:t>
            </w:r>
            <w:r>
              <w:rPr>
                <w:rFonts w:hint="eastAsia" w:eastAsia="宋体"/>
                <w:lang w:val="en-US" w:eastAsia="zh-CN"/>
              </w:rPr>
              <w:t>s</w:t>
            </w:r>
            <w:bookmarkStart w:id="2" w:name="_GoBack"/>
            <w:bookmarkEnd w:id="2"/>
            <w:r>
              <w:rPr>
                <w:rFonts w:hint="eastAsia"/>
              </w:rPr>
              <w:t>.</w:t>
            </w:r>
          </w:p>
          <w:p>
            <w:pPr>
              <w:pStyle w:val="136"/>
              <w:spacing w:after="0"/>
              <w:ind w:left="100"/>
            </w:pPr>
            <w:r>
              <w:rPr>
                <w:rFonts w:hint="eastAsia" w:eastAsia="宋体"/>
                <w:lang w:val="en-US" w:eastAsia="zh-CN"/>
              </w:rPr>
              <w:t>2.</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6.5.3.1, 6.5.3.2, 6.5.3.4, 6.5.3.5, 6.5.3.7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6.5.3.1</w:t>
      </w:r>
      <w:r>
        <w:tab/>
      </w:r>
      <w:r>
        <w:t>SNPN Selection in Manual Mode / Using credentials from a credentials holder</w:t>
      </w:r>
    </w:p>
    <w:p>
      <w:pPr>
        <w:pStyle w:val="8"/>
      </w:pPr>
      <w:r>
        <w:t>6.5.3.1.1</w:t>
      </w:r>
      <w:r>
        <w:tab/>
      </w:r>
      <w:r>
        <w:t>Test Purpose (TP)</w:t>
      </w:r>
    </w:p>
    <w:p>
      <w:pPr>
        <w:pStyle w:val="8"/>
      </w:pPr>
      <w:r>
        <w:t>(1)</w:t>
      </w:r>
    </w:p>
    <w:p>
      <w:pPr>
        <w:pStyle w:val="93"/>
      </w:pPr>
      <w:r>
        <w:rPr>
          <w:b/>
          <w:bCs/>
        </w:rPr>
        <w:t>with</w:t>
      </w:r>
      <w:r>
        <w:t xml:space="preserve"> { UE in Manual network/SNPN selection mode and supports access to an SNPN using credentials from a credentials holder and an SNPN cell is available </w:t>
      </w:r>
      <w:r>
        <w:rPr>
          <w:lang w:eastAsia="zh-CN"/>
        </w:rPr>
        <w:t xml:space="preserve">which does not support the access using credentials from a credentials holder </w:t>
      </w:r>
      <w:r>
        <w:t>}</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does not indicate to the user any available SNPNs }</w:t>
      </w:r>
    </w:p>
    <w:p>
      <w:pPr>
        <w:pStyle w:val="93"/>
      </w:pPr>
      <w:r>
        <w:t xml:space="preserve">            }</w:t>
      </w:r>
    </w:p>
    <w:p>
      <w:pPr>
        <w:pStyle w:val="93"/>
      </w:pPr>
    </w:p>
    <w:p>
      <w:pPr>
        <w:pStyle w:val="8"/>
      </w:pPr>
      <w:r>
        <w:t>(2)</w:t>
      </w:r>
    </w:p>
    <w:p>
      <w:pPr>
        <w:pStyle w:val="93"/>
      </w:pPr>
      <w:r>
        <w:rPr>
          <w:b/>
          <w:bCs/>
        </w:rPr>
        <w:t>with</w:t>
      </w:r>
      <w:r>
        <w:t xml:space="preserve"> { UE in Manual network/SNPN selection mode and supports access to an SNPN using credentials from a credentials holder }</w:t>
      </w:r>
    </w:p>
    <w:p>
      <w:pPr>
        <w:pStyle w:val="93"/>
      </w:pPr>
      <w:r>
        <w:rPr>
          <w:b/>
          <w:bCs/>
        </w:rPr>
        <w:t>ensure that</w:t>
      </w:r>
      <w:r>
        <w:t xml:space="preserve"> {</w:t>
      </w:r>
    </w:p>
    <w:p>
      <w:pPr>
        <w:pStyle w:val="93"/>
      </w:pPr>
      <w:r>
        <w:t xml:space="preserve">  </w:t>
      </w:r>
      <w:r>
        <w:rPr>
          <w:b/>
          <w:bCs/>
        </w:rPr>
        <w:t>when</w:t>
      </w:r>
      <w:r>
        <w:t xml:space="preserve"> { </w:t>
      </w:r>
      <w:r>
        <w:rPr>
          <w:lang w:eastAsia="zh-CN"/>
        </w:rPr>
        <w:t xml:space="preserve">an </w:t>
      </w:r>
      <w:r>
        <w:t>SNPN is available which broadcasts the indication that access using credentials from a credentials holder is supported }</w:t>
      </w:r>
    </w:p>
    <w:p>
      <w:pPr>
        <w:pStyle w:val="93"/>
      </w:pPr>
      <w:r>
        <w:t xml:space="preserve">    </w:t>
      </w:r>
      <w:r>
        <w:rPr>
          <w:b/>
          <w:bCs/>
        </w:rPr>
        <w:t>then</w:t>
      </w:r>
      <w:r>
        <w:t xml:space="preserve"> { UE indicates to the user that an SNPN is available and user selects the SNPN }</w:t>
      </w:r>
    </w:p>
    <w:p>
      <w:pPr>
        <w:pStyle w:val="93"/>
      </w:pPr>
      <w:r>
        <w:t xml:space="preserve">            }</w:t>
      </w:r>
    </w:p>
    <w:p>
      <w:pPr>
        <w:pStyle w:val="93"/>
      </w:pPr>
    </w:p>
    <w:p>
      <w:pPr>
        <w:pStyle w:val="8"/>
      </w:pPr>
      <w:r>
        <w:t>6.5.3.1.2</w:t>
      </w:r>
      <w:r>
        <w:tab/>
      </w:r>
      <w:r>
        <w:t>Conformance requirements</w:t>
      </w:r>
    </w:p>
    <w:p>
      <w:r>
        <w:t>References: The conformance requirements covered in the current TC are specified in: TS 23.122 clauses 4.9.3.1.0 and 4.9.3.1.2. Unless otherwise stated these are Rel-17 requirements.</w:t>
      </w:r>
    </w:p>
    <w:p>
      <w:r>
        <w:t>[TS 23.122 clause 4.9.3.1.0]</w:t>
      </w:r>
    </w:p>
    <w:p>
      <w:r>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p>
    <w:p>
      <w:r>
        <w:t>NOTE 1:</w:t>
      </w:r>
      <w:r>
        <w:tab/>
      </w:r>
      <w:r>
        <w:t>The MS in automatic SNPN selection mode can end the SNPN search procedure once the registered SNPN is found on NG-RAN access technology.</w:t>
      </w:r>
    </w:p>
    <w:p>
      <w:r>
        <w:t>NOTE 2:</w:t>
      </w:r>
      <w:r>
        <w:tab/>
      </w:r>
      <w:r>
        <w:t>An MS in automatic SNPN selection mode can use location information to determine which SNPNs can be available in its present location.</w:t>
      </w:r>
    </w:p>
    <w:p>
      <w:r>
        <w:t>If successful registration is achieved, the MS indicates the selected SNPN.</w:t>
      </w:r>
    </w:p>
    <w:p>
      <w:r>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p>
    <w:p>
      <w:r>
        <w:t>NOTE 3:</w:t>
      </w:r>
      <w:r>
        <w:tab/>
      </w:r>
      <w:r>
        <w:t>If successful registration is achieved, then the current serving SNPN becomes the registered SNPN and the MS does not store the previous registered SNPN for later use.</w:t>
      </w:r>
    </w:p>
    <w:p>
      <w:r>
        <w:t>If registration is not possible on recovery from lack of coverage due to the registered SNPN being unavailable, an MS may, optionally, continue looking for the registered SNPN for an implementation dependent time.</w:t>
      </w:r>
    </w:p>
    <w:p>
      <w:r>
        <w:t>NOTE 4:</w:t>
      </w:r>
      <w:r>
        <w:tab/>
      </w:r>
      <w:r>
        <w:t xml:space="preserve">An MS registered to an SNPN should behave as described above only if one or more PDU sessions are currently active. </w:t>
      </w:r>
    </w:p>
    <w:p>
      <w:r>
        <w:t>[TS 23.122, clause 4.9.3.1.2]</w:t>
      </w:r>
    </w:p>
    <w:p>
      <w:r>
        <w:t>The MS indicates to the user any available SNPNs which meet the criteria specified in bullets a) and b). If the MS does not support access to an SNPN using credentials from a credentials holder, this includes SNPNs in the list of "permanently forbidden SNPNs",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r>
        <w:t>a)</w:t>
      </w:r>
      <w:r>
        <w:tab/>
      </w:r>
      <w:r>
        <w:t>SNPNs identified by an SNPN identity in an entry of the "list of subscriber data" in the ME, if any. The order in which those SNPNs are indicated is MS implementation specific;</w:t>
      </w:r>
    </w:p>
    <w:p>
      <w:r>
        <w:t>b)</w:t>
      </w:r>
      <w:r>
        <w:tab/>
      </w:r>
      <w:r>
        <w:t>if the MS supports access to an SNPN using credentials from a credentials holder, for the SNPNs which broadcast the indication that access using credentials from a credentials holder is supported:</w:t>
      </w:r>
    </w:p>
    <w:p>
      <w:r>
        <w:t>1)</w:t>
      </w:r>
      <w:r>
        <w:tab/>
      </w:r>
      <w:r>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p>
    <w:p>
      <w:r>
        <w:t>2)</w:t>
      </w:r>
      <w:r>
        <w:tab/>
      </w:r>
      <w:r>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p>
    <w:p>
      <w:r>
        <w:t>3)</w:t>
      </w:r>
      <w:r>
        <w:tab/>
      </w:r>
      <w:r>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r>
        <w:t>4)</w:t>
      </w:r>
      <w:r>
        <w:tab/>
      </w:r>
      <w:r>
        <w:t>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holder controlled prioritized lists of GINs configured in the ME. The order in which those SNPNs are indicated is MS implementation specific.</w:t>
      </w:r>
    </w:p>
    <w:p>
      <w:r>
        <w:t>For each of the SNPNs indicated to the user, the MS shall forward a human-readable network name along with the SNPN identity to the upper layers if the system information broadcasted for the SNPN includes the human-readable network name for the SNPN.</w:t>
      </w:r>
    </w:p>
    <w:p>
      <w:r>
        <w:t>The MS shall limit its search for the SNPN to the NG-RAN access technology.</w:t>
      </w:r>
    </w:p>
    <w:p>
      <w:r>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p>
    <w:p>
      <w:r>
        <w:t>-</w:t>
      </w:r>
      <w:r>
        <w:tab/>
      </w:r>
      <w:r>
        <w:t>for bullet a) above, the entry of the "list of subscriber data", with the SNPN identity matching the selected SNPN (this may take place at any time during the presentation of SNPNs), shall be considered as selected;</w:t>
      </w:r>
    </w:p>
    <w:p>
      <w:r>
        <w:t>-</w:t>
      </w:r>
      <w:r>
        <w:tab/>
      </w:r>
      <w:r>
        <w:t>for bullet b-1) above:</w:t>
      </w:r>
    </w:p>
    <w:p>
      <w:r>
        <w:t>i)</w:t>
      </w:r>
      <w:r>
        <w:tab/>
      </w:r>
      <w:r>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p>
    <w:p>
      <w:r>
        <w:t>-</w:t>
      </w:r>
      <w:r>
        <w:tab/>
      </w:r>
      <w:r>
        <w:t>the PLMN subscription shall be considered as selected, if the user controlled prioritized list of preferred SNPNs associated with the PLMN subscription includes the SNPN identity of the selected SNPN;</w:t>
      </w:r>
    </w:p>
    <w:p>
      <w:r>
        <w:t>-</w:t>
      </w:r>
      <w:r>
        <w:tab/>
      </w:r>
      <w:r>
        <w:t>for bullet b-2) above:</w:t>
      </w:r>
    </w:p>
    <w:p>
      <w:r>
        <w:t>i)</w:t>
      </w:r>
      <w:r>
        <w:tab/>
      </w:r>
      <w:r>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p>
    <w:p>
      <w:r>
        <w:t>ii)</w:t>
      </w:r>
      <w:r>
        <w:tab/>
      </w:r>
      <w:r>
        <w:t>the PLMN subscription shall be considered as selected, if the credentials holder controlled prioritized list of preferred SNPNs associated with the PLMN subscription includes the SNPN identity of the selected SNPN;</w:t>
      </w:r>
    </w:p>
    <w:p>
      <w:r>
        <w:t>-</w:t>
      </w:r>
      <w:r>
        <w:tab/>
      </w:r>
      <w:r>
        <w:t>for bullet b-3) above:</w:t>
      </w:r>
    </w:p>
    <w:p>
      <w:r>
        <w:t>i)</w:t>
      </w:r>
      <w:r>
        <w:tab/>
      </w:r>
      <w:r>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p>
    <w:p>
      <w:r>
        <w:t>ii)</w:t>
      </w:r>
      <w:r>
        <w:tab/>
      </w:r>
      <w:r>
        <w:t>the PLMN subscription shall be considered as selected, if the credentials holder controlled prioritized list of GINs associated with the PLMN subscription includes the GIN broadcast by the selected SNPN; and</w:t>
      </w:r>
    </w:p>
    <w:p>
      <w:r>
        <w:t>-</w:t>
      </w:r>
      <w:r>
        <w:tab/>
      </w:r>
      <w:r>
        <w:t>for bullet b-4) above, the entry of the "list of subscriber data" or the PLMN subscription shall be selected by MS implementation specific means.</w:t>
      </w:r>
    </w:p>
    <w:p>
      <w:r>
        <w:t>NOTE1:</w:t>
      </w:r>
      <w:r>
        <w:tab/>
      </w:r>
      <w:r>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p>
    <w:p>
      <w:pPr>
        <w:rPr>
          <w:lang w:eastAsia="zh-CN"/>
        </w:rPr>
      </w:pPr>
      <w:r>
        <w:rPr>
          <w:lang w:eastAsia="zh-CN"/>
        </w:rPr>
        <w:t>…</w:t>
      </w:r>
    </w:p>
    <w:p>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pPr>
        <w:pStyle w:val="8"/>
      </w:pPr>
      <w:r>
        <w:t>6.5.3.1.3</w:t>
      </w:r>
      <w:r>
        <w:tab/>
      </w:r>
      <w:r>
        <w:t>Test description</w:t>
      </w:r>
    </w:p>
    <w:p>
      <w:pPr>
        <w:pStyle w:val="8"/>
      </w:pPr>
      <w:r>
        <w:t>6.5.3.1.3.1</w:t>
      </w:r>
      <w:r>
        <w:tab/>
      </w:r>
      <w:r>
        <w:t>Pre-test conditions</w:t>
      </w:r>
    </w:p>
    <w:p>
      <w:pPr>
        <w:pStyle w:val="8"/>
      </w:pPr>
      <w:r>
        <w:t>System Simulator:</w:t>
      </w:r>
    </w:p>
    <w:p>
      <w:pPr>
        <w:pStyle w:val="108"/>
      </w:pPr>
      <w:r>
        <w:t>-</w:t>
      </w:r>
      <w:r>
        <w:tab/>
      </w:r>
      <w:r>
        <w:t>2 SNPN cells: NR Cell 1 and NR Cell 3 are configured broadcasting default SNPN IDs as indicated in TS 38.508-1 [4] Table 4.4.2-4.</w:t>
      </w:r>
    </w:p>
    <w:p>
      <w:pPr>
        <w:pStyle w:val="108"/>
      </w:pPr>
      <w:r>
        <w:t>-</w:t>
      </w:r>
      <w:r>
        <w:tab/>
      </w:r>
      <w:r>
        <w:t>System information combination NR-26 as defined in TS 38.508-1 [4] clause 4.4.3.1.2 is used in NR cells.</w:t>
      </w:r>
    </w:p>
    <w:p>
      <w:pPr>
        <w:pStyle w:val="8"/>
      </w:pPr>
      <w:r>
        <w:t>UE:</w:t>
      </w:r>
    </w:p>
    <w:p>
      <w:pPr>
        <w:pStyle w:val="108"/>
      </w:pPr>
      <w:r>
        <w:t>-</w:t>
      </w:r>
      <w:r>
        <w:tab/>
      </w:r>
      <w:r>
        <w:t>The UE is in Manual SNPN selection mode.</w:t>
      </w:r>
    </w:p>
    <w:p>
      <w:pPr>
        <w:pStyle w:val="108"/>
      </w:pPr>
      <w:r>
        <w:t>-</w:t>
      </w:r>
      <w:r>
        <w:tab/>
      </w:r>
      <w:r>
        <w:t>The UE is provisioned with a "list of subscriber data" to allow access to SNPN identified by NR Cell 1 and NR Cell 3 using credentials from the certificate holder. The SNPN identity of NR Cell 1 and NR Cell 3 are contained in the credentials holder controlled prioritized list of preferred SNPNs</w:t>
      </w:r>
      <w:r>
        <w:rPr>
          <w:lang w:eastAsia="zh-CN"/>
        </w:rPr>
        <w:t>.</w:t>
      </w:r>
    </w:p>
    <w:p>
      <w:pPr>
        <w:pStyle w:val="8"/>
      </w:pPr>
      <w:r>
        <w:t>Preamble:</w:t>
      </w:r>
    </w:p>
    <w:p>
      <w:pPr>
        <w:pStyle w:val="108"/>
      </w:pPr>
      <w:r>
        <w:t>-</w:t>
      </w:r>
      <w:r>
        <w:tab/>
      </w:r>
      <w:r>
        <w:t>Ensure that the UE has cleared the Registered SNPN, a</w:t>
      </w:r>
      <w:r>
        <w:rPr>
          <w:lang w:eastAsia="zh-CN"/>
        </w:rPr>
        <w:t xml:space="preserve">nd </w:t>
      </w:r>
      <w:r>
        <w:rPr>
          <w:lang w:eastAsia="zh-TW"/>
        </w:rPr>
        <w:t>the UE is in state Switched OFF (state 0-A)</w:t>
      </w:r>
      <w:r>
        <w:t>.</w:t>
      </w:r>
    </w:p>
    <w:p>
      <w:pPr>
        <w:pStyle w:val="8"/>
      </w:pPr>
      <w:r>
        <w:t>6.5.3.1.3.2</w:t>
      </w:r>
      <w:r>
        <w:tab/>
      </w:r>
      <w:r>
        <w:t xml:space="preserve">Test </w:t>
      </w:r>
      <w:r>
        <w:rPr>
          <w:snapToGrid w:val="0"/>
        </w:rPr>
        <w:t>procedure</w:t>
      </w:r>
      <w:r>
        <w:t xml:space="preserve"> sequence</w:t>
      </w:r>
    </w:p>
    <w:p>
      <w:r>
        <w:t>Table 6.5.3.1.3.2-1</w:t>
      </w:r>
      <w:r>
        <w:rPr>
          <w:lang w:eastAsia="zh-CN"/>
        </w:rPr>
        <w:t>/2</w:t>
      </w:r>
      <w:r>
        <w:t xml:space="preserve"> shows the cell configurations used during the test. Subsequent configurations marked “T1” and “T2” are applied at the points indicated in the Main behaviour description in Table 6.5.3.1.3.2-3. Cell powers are chosen for a serving cell and a non-suitable “Off” cell as defined in TS 38.508-1 [4] Table 6.2.2.1-3 for FR1 and Table 6.2.2.2-2 for FR2.</w:t>
      </w:r>
    </w:p>
    <w:p>
      <w:pPr>
        <w:pStyle w:val="112"/>
        <w:rPr>
          <w:lang w:eastAsia="zh-CN"/>
        </w:rPr>
      </w:pPr>
      <w:r>
        <w:t>Table 6.5.3.1.3.2-1: Time instances of cell power level and parameter changes for FR1</w:t>
      </w:r>
    </w:p>
    <w:tbl>
      <w:tblPr>
        <w:tblStyle w:val="61"/>
        <w:tblW w:w="9536"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419"/>
        <w:gridCol w:w="1315"/>
        <w:gridCol w:w="1092"/>
        <w:gridCol w:w="1047"/>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3" w:type="dxa"/>
            <w:shd w:val="clear" w:color="auto" w:fill="auto"/>
          </w:tcPr>
          <w:p>
            <w:pPr>
              <w:keepNext/>
              <w:keepLines/>
              <w:spacing w:after="0"/>
              <w:jc w:val="center"/>
              <w:rPr>
                <w:rFonts w:ascii="Arial" w:hAnsi="Arial"/>
                <w:b/>
                <w:sz w:val="18"/>
              </w:rPr>
            </w:pPr>
            <w:r>
              <w:rPr>
                <w:rFonts w:ascii="Arial" w:hAnsi="Arial"/>
                <w:b/>
                <w:sz w:val="18"/>
              </w:rPr>
              <w:t> </w:t>
            </w:r>
          </w:p>
        </w:tc>
        <w:tc>
          <w:tcPr>
            <w:tcW w:w="1419" w:type="dxa"/>
            <w:shd w:val="clear" w:color="auto" w:fill="auto"/>
          </w:tcPr>
          <w:p>
            <w:pPr>
              <w:keepNext/>
              <w:keepLines/>
              <w:spacing w:after="0"/>
              <w:jc w:val="center"/>
              <w:rPr>
                <w:rFonts w:ascii="Arial" w:hAnsi="Arial"/>
                <w:b/>
                <w:sz w:val="18"/>
              </w:rPr>
            </w:pPr>
            <w:r>
              <w:rPr>
                <w:rFonts w:ascii="Arial" w:hAnsi="Arial"/>
                <w:b/>
                <w:sz w:val="18"/>
              </w:rPr>
              <w:t>Parameter</w:t>
            </w:r>
          </w:p>
        </w:tc>
        <w:tc>
          <w:tcPr>
            <w:tcW w:w="1315" w:type="dxa"/>
            <w:shd w:val="clear" w:color="auto" w:fill="auto"/>
          </w:tcPr>
          <w:p>
            <w:pPr>
              <w:keepNext/>
              <w:keepLines/>
              <w:spacing w:after="0"/>
              <w:jc w:val="center"/>
              <w:rPr>
                <w:rFonts w:ascii="Arial" w:hAnsi="Arial"/>
                <w:b/>
                <w:sz w:val="18"/>
              </w:rPr>
            </w:pPr>
            <w:r>
              <w:rPr>
                <w:rFonts w:ascii="Arial" w:hAnsi="Arial"/>
                <w:b/>
                <w:sz w:val="18"/>
              </w:rPr>
              <w:t>Unit</w:t>
            </w:r>
          </w:p>
        </w:tc>
        <w:tc>
          <w:tcPr>
            <w:tcW w:w="1092" w:type="dxa"/>
            <w:shd w:val="clear" w:color="auto" w:fill="auto"/>
          </w:tcPr>
          <w:p>
            <w:pPr>
              <w:keepNext/>
              <w:keepLines/>
              <w:spacing w:after="0"/>
              <w:jc w:val="center"/>
              <w:rPr>
                <w:rFonts w:ascii="Arial" w:hAnsi="Arial"/>
                <w:b/>
                <w:sz w:val="18"/>
              </w:rPr>
            </w:pPr>
            <w:r>
              <w:rPr>
                <w:rFonts w:ascii="Arial" w:hAnsi="Arial"/>
                <w:b/>
                <w:sz w:val="18"/>
              </w:rPr>
              <w:t>NR Cell 1</w:t>
            </w:r>
          </w:p>
        </w:tc>
        <w:tc>
          <w:tcPr>
            <w:tcW w:w="1047" w:type="dxa"/>
            <w:shd w:val="clear" w:color="auto" w:fill="auto"/>
          </w:tcPr>
          <w:p>
            <w:pPr>
              <w:keepNext/>
              <w:keepLines/>
              <w:spacing w:after="0"/>
              <w:jc w:val="center"/>
              <w:rPr>
                <w:rFonts w:ascii="Arial" w:hAnsi="Arial"/>
                <w:b/>
                <w:sz w:val="18"/>
              </w:rPr>
            </w:pPr>
            <w:r>
              <w:rPr>
                <w:rFonts w:ascii="Arial" w:hAnsi="Arial"/>
                <w:b/>
                <w:sz w:val="18"/>
              </w:rPr>
              <w:t>NR Cell 3</w:t>
            </w:r>
          </w:p>
        </w:tc>
        <w:tc>
          <w:tcPr>
            <w:tcW w:w="4110"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3"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419"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315"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1092" w:type="dxa"/>
            <w:shd w:val="clear" w:color="auto" w:fill="auto"/>
            <w:vAlign w:val="center"/>
          </w:tcPr>
          <w:p>
            <w:pPr>
              <w:keepNext/>
              <w:keepLines/>
              <w:spacing w:after="0"/>
              <w:jc w:val="center"/>
              <w:rPr>
                <w:rFonts w:ascii="Arial" w:hAnsi="Arial"/>
                <w:sz w:val="18"/>
              </w:rPr>
            </w:pPr>
            <w:r>
              <w:rPr>
                <w:rFonts w:ascii="Arial" w:hAnsi="Arial"/>
                <w:sz w:val="18"/>
                <w:lang w:eastAsia="zh-CN"/>
              </w:rPr>
              <w:t>“Off”</w:t>
            </w:r>
          </w:p>
        </w:tc>
        <w:tc>
          <w:tcPr>
            <w:tcW w:w="1047"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4110" w:type="dxa"/>
            <w:shd w:val="clear" w:color="auto" w:fill="auto"/>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3"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419"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315"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1092"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1047" w:type="dxa"/>
            <w:shd w:val="clear" w:color="auto" w:fill="auto"/>
            <w:vAlign w:val="center"/>
          </w:tcPr>
          <w:p>
            <w:pPr>
              <w:keepNext/>
              <w:keepLines/>
              <w:spacing w:after="0"/>
              <w:jc w:val="center"/>
              <w:rPr>
                <w:rFonts w:ascii="Arial" w:hAnsi="Arial"/>
                <w:sz w:val="18"/>
              </w:rPr>
            </w:pPr>
            <w:r>
              <w:rPr>
                <w:rFonts w:ascii="Arial" w:hAnsi="Arial"/>
                <w:sz w:val="18"/>
                <w:lang w:eastAsia="zh-CN"/>
              </w:rPr>
              <w:t>-88</w:t>
            </w:r>
          </w:p>
        </w:tc>
        <w:tc>
          <w:tcPr>
            <w:tcW w:w="4110" w:type="dxa"/>
            <w:shd w:val="clear" w:color="auto" w:fill="auto"/>
          </w:tcPr>
          <w:p>
            <w:pPr>
              <w:keepNext/>
              <w:keepLines/>
              <w:spacing w:after="0"/>
              <w:rPr>
                <w:rFonts w:ascii="Arial" w:hAnsi="Arial"/>
                <w:sz w:val="18"/>
              </w:rPr>
            </w:pPr>
          </w:p>
        </w:tc>
      </w:tr>
    </w:tbl>
    <w:p/>
    <w:p>
      <w:pPr>
        <w:pStyle w:val="112"/>
      </w:pPr>
      <w:r>
        <w:t>Table 6.5.3.1.3.2-</w:t>
      </w:r>
      <w:r>
        <w:rPr>
          <w:lang w:eastAsia="zh-CN"/>
        </w:rPr>
        <w:t>2</w:t>
      </w:r>
      <w:r>
        <w:t>: Time instances of cell power level and parameter changes for FR</w:t>
      </w:r>
      <w:r>
        <w:rPr>
          <w:lang w:eastAsia="zh-CN"/>
        </w:rPr>
        <w:t>2</w:t>
      </w:r>
    </w:p>
    <w:tbl>
      <w:tblPr>
        <w:tblStyle w:val="61"/>
        <w:tblW w:w="9536"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419"/>
        <w:gridCol w:w="1315"/>
        <w:gridCol w:w="1092"/>
        <w:gridCol w:w="1047"/>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3" w:type="dxa"/>
            <w:shd w:val="clear" w:color="auto" w:fill="auto"/>
          </w:tcPr>
          <w:p>
            <w:pPr>
              <w:keepNext/>
              <w:keepLines/>
              <w:spacing w:after="0"/>
              <w:jc w:val="center"/>
              <w:rPr>
                <w:rFonts w:ascii="Arial" w:hAnsi="Arial"/>
                <w:b/>
                <w:sz w:val="18"/>
              </w:rPr>
            </w:pPr>
            <w:r>
              <w:rPr>
                <w:rFonts w:ascii="Arial" w:hAnsi="Arial"/>
                <w:b/>
                <w:sz w:val="18"/>
              </w:rPr>
              <w:t> </w:t>
            </w:r>
          </w:p>
        </w:tc>
        <w:tc>
          <w:tcPr>
            <w:tcW w:w="1419" w:type="dxa"/>
            <w:shd w:val="clear" w:color="auto" w:fill="auto"/>
          </w:tcPr>
          <w:p>
            <w:pPr>
              <w:keepNext/>
              <w:keepLines/>
              <w:spacing w:after="0"/>
              <w:jc w:val="center"/>
              <w:rPr>
                <w:rFonts w:ascii="Arial" w:hAnsi="Arial"/>
                <w:b/>
                <w:sz w:val="18"/>
              </w:rPr>
            </w:pPr>
            <w:r>
              <w:rPr>
                <w:rFonts w:ascii="Arial" w:hAnsi="Arial"/>
                <w:b/>
                <w:sz w:val="18"/>
              </w:rPr>
              <w:t>Parameter</w:t>
            </w:r>
          </w:p>
        </w:tc>
        <w:tc>
          <w:tcPr>
            <w:tcW w:w="1315" w:type="dxa"/>
            <w:shd w:val="clear" w:color="auto" w:fill="auto"/>
          </w:tcPr>
          <w:p>
            <w:pPr>
              <w:keepNext/>
              <w:keepLines/>
              <w:spacing w:after="0"/>
              <w:jc w:val="center"/>
              <w:rPr>
                <w:rFonts w:ascii="Arial" w:hAnsi="Arial"/>
                <w:b/>
                <w:sz w:val="18"/>
              </w:rPr>
            </w:pPr>
            <w:r>
              <w:rPr>
                <w:rFonts w:ascii="Arial" w:hAnsi="Arial"/>
                <w:b/>
                <w:sz w:val="18"/>
              </w:rPr>
              <w:t>Unit</w:t>
            </w:r>
          </w:p>
        </w:tc>
        <w:tc>
          <w:tcPr>
            <w:tcW w:w="1092" w:type="dxa"/>
            <w:shd w:val="clear" w:color="auto" w:fill="auto"/>
          </w:tcPr>
          <w:p>
            <w:pPr>
              <w:keepNext/>
              <w:keepLines/>
              <w:spacing w:after="0"/>
              <w:jc w:val="center"/>
              <w:rPr>
                <w:rFonts w:ascii="Arial" w:hAnsi="Arial"/>
                <w:b/>
                <w:sz w:val="18"/>
              </w:rPr>
            </w:pPr>
            <w:r>
              <w:rPr>
                <w:rFonts w:ascii="Arial" w:hAnsi="Arial"/>
                <w:b/>
                <w:sz w:val="18"/>
              </w:rPr>
              <w:t>NR Cell 1</w:t>
            </w:r>
          </w:p>
        </w:tc>
        <w:tc>
          <w:tcPr>
            <w:tcW w:w="1047" w:type="dxa"/>
            <w:shd w:val="clear" w:color="auto" w:fill="auto"/>
          </w:tcPr>
          <w:p>
            <w:pPr>
              <w:keepNext/>
              <w:keepLines/>
              <w:spacing w:after="0"/>
              <w:jc w:val="center"/>
              <w:rPr>
                <w:rFonts w:ascii="Arial" w:hAnsi="Arial"/>
                <w:b/>
                <w:sz w:val="18"/>
              </w:rPr>
            </w:pPr>
            <w:r>
              <w:rPr>
                <w:rFonts w:ascii="Arial" w:hAnsi="Arial"/>
                <w:b/>
                <w:sz w:val="18"/>
              </w:rPr>
              <w:t>NR Cell 3</w:t>
            </w:r>
          </w:p>
        </w:tc>
        <w:tc>
          <w:tcPr>
            <w:tcW w:w="4110"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3"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419"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315"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109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“Off”</w:t>
            </w:r>
          </w:p>
        </w:tc>
        <w:tc>
          <w:tcPr>
            <w:tcW w:w="1047"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4110" w:type="dxa"/>
            <w:shd w:val="clear" w:color="auto" w:fill="auto"/>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3"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419"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315"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109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1047"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4110" w:type="dxa"/>
            <w:shd w:val="clear" w:color="auto" w:fill="auto"/>
          </w:tcPr>
          <w:p>
            <w:pPr>
              <w:keepNext/>
              <w:keepLines/>
              <w:spacing w:after="0"/>
              <w:rPr>
                <w:rFonts w:ascii="Arial" w:hAnsi="Arial"/>
                <w:sz w:val="18"/>
              </w:rPr>
            </w:pPr>
          </w:p>
        </w:tc>
      </w:tr>
    </w:tbl>
    <w:p/>
    <w:p>
      <w:pPr>
        <w:pStyle w:val="112"/>
      </w:pPr>
      <w:r>
        <w:t>Table 6.5.3.1.3.2-3: Main behaviour</w:t>
      </w:r>
    </w:p>
    <w:tbl>
      <w:tblPr>
        <w:tblStyle w:val="61"/>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tcBorders>
            <w:shd w:val="clear" w:color="auto" w:fill="auto"/>
          </w:tcPr>
          <w:p>
            <w:pPr>
              <w:keepNext/>
              <w:keepLines/>
              <w:spacing w:after="0"/>
              <w:jc w:val="center"/>
              <w:rPr>
                <w:rFonts w:ascii="Arial" w:hAnsi="Arial"/>
                <w:b/>
                <w:sz w:val="18"/>
              </w:rPr>
            </w:pPr>
            <w:r>
              <w:rPr>
                <w:rFonts w:ascii="Arial" w:hAnsi="Arial"/>
                <w:b/>
                <w:sz w:val="18"/>
              </w:rPr>
              <w:t>St</w:t>
            </w:r>
          </w:p>
        </w:tc>
        <w:tc>
          <w:tcPr>
            <w:tcW w:w="3968" w:type="dxa"/>
            <w:shd w:val="clear" w:color="auto" w:fill="auto"/>
          </w:tcPr>
          <w:p>
            <w:pPr>
              <w:keepNext/>
              <w:keepLines/>
              <w:spacing w:after="0"/>
              <w:jc w:val="center"/>
              <w:rPr>
                <w:rFonts w:ascii="Arial" w:hAnsi="Arial"/>
                <w:b/>
                <w:sz w:val="18"/>
              </w:rPr>
            </w:pPr>
            <w:r>
              <w:rPr>
                <w:rFonts w:ascii="Arial" w:hAnsi="Arial"/>
                <w:b/>
                <w:sz w:val="18"/>
              </w:rPr>
              <w:t>Procedure</w:t>
            </w:r>
          </w:p>
        </w:tc>
        <w:tc>
          <w:tcPr>
            <w:tcW w:w="3684" w:type="dxa"/>
            <w:gridSpan w:val="2"/>
            <w:shd w:val="clear" w:color="auto" w:fill="auto"/>
          </w:tcPr>
          <w:p>
            <w:pPr>
              <w:keepNext/>
              <w:keepLines/>
              <w:spacing w:after="0"/>
              <w:jc w:val="center"/>
              <w:rPr>
                <w:rFonts w:ascii="Arial" w:hAnsi="Arial"/>
                <w:b/>
                <w:sz w:val="18"/>
              </w:rPr>
            </w:pPr>
            <w:r>
              <w:rPr>
                <w:rFonts w:ascii="Arial" w:hAnsi="Arial"/>
                <w:b/>
                <w:sz w:val="18"/>
              </w:rPr>
              <w:t>Message Sequence</w:t>
            </w:r>
          </w:p>
        </w:tc>
        <w:tc>
          <w:tcPr>
            <w:tcW w:w="567" w:type="dxa"/>
            <w:tcBorders>
              <w:bottom w:val="nil"/>
            </w:tcBorders>
            <w:shd w:val="clear" w:color="auto" w:fill="auto"/>
          </w:tcPr>
          <w:p>
            <w:pPr>
              <w:keepNext/>
              <w:keepLines/>
              <w:spacing w:after="0"/>
              <w:jc w:val="center"/>
              <w:rPr>
                <w:rFonts w:ascii="Arial" w:hAnsi="Arial"/>
                <w:b/>
                <w:sz w:val="18"/>
              </w:rPr>
            </w:pPr>
            <w:r>
              <w:rPr>
                <w:rFonts w:ascii="Arial" w:hAnsi="Arial"/>
                <w:b/>
                <w:sz w:val="18"/>
              </w:rPr>
              <w:t>TP</w:t>
            </w:r>
          </w:p>
        </w:tc>
        <w:tc>
          <w:tcPr>
            <w:tcW w:w="850" w:type="dxa"/>
            <w:tcBorders>
              <w:bottom w:val="nil"/>
            </w:tcBorders>
            <w:shd w:val="clear" w:color="auto" w:fill="auto"/>
          </w:tcPr>
          <w:p>
            <w:pPr>
              <w:keepNext/>
              <w:keepLines/>
              <w:spacing w:after="0"/>
              <w:jc w:val="center"/>
              <w:rPr>
                <w:rFonts w:ascii="Arial" w:hAnsi="Arial"/>
                <w:b/>
                <w:sz w:val="18"/>
              </w:rPr>
            </w:pPr>
            <w:r>
              <w:rPr>
                <w:rFonts w:ascii="Arial" w:hAnsi="Arial"/>
                <w:b/>
                <w:sz w:val="18"/>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keepNext/>
              <w:keepLines/>
              <w:spacing w:after="0"/>
              <w:jc w:val="center"/>
              <w:rPr>
                <w:rFonts w:ascii="Arial" w:hAnsi="Arial"/>
                <w:b/>
                <w:sz w:val="18"/>
              </w:rPr>
            </w:pPr>
          </w:p>
        </w:tc>
        <w:tc>
          <w:tcPr>
            <w:tcW w:w="3968" w:type="dxa"/>
            <w:shd w:val="clear" w:color="auto" w:fill="auto"/>
          </w:tcPr>
          <w:p>
            <w:pPr>
              <w:keepNext/>
              <w:keepLines/>
              <w:spacing w:after="0"/>
              <w:jc w:val="center"/>
              <w:rPr>
                <w:rFonts w:ascii="Arial" w:hAnsi="Arial"/>
                <w:b/>
                <w:sz w:val="18"/>
              </w:rPr>
            </w:pPr>
          </w:p>
        </w:tc>
        <w:tc>
          <w:tcPr>
            <w:tcW w:w="708" w:type="dxa"/>
            <w:shd w:val="clear" w:color="auto" w:fill="auto"/>
          </w:tcPr>
          <w:p>
            <w:pPr>
              <w:keepNext/>
              <w:keepLines/>
              <w:spacing w:after="0"/>
              <w:jc w:val="center"/>
              <w:rPr>
                <w:rFonts w:ascii="Arial" w:hAnsi="Arial"/>
                <w:b/>
                <w:sz w:val="18"/>
              </w:rPr>
            </w:pPr>
            <w:r>
              <w:rPr>
                <w:rFonts w:ascii="Arial" w:hAnsi="Arial"/>
                <w:b/>
                <w:sz w:val="18"/>
              </w:rPr>
              <w:t>U - S</w:t>
            </w:r>
          </w:p>
        </w:tc>
        <w:tc>
          <w:tcPr>
            <w:tcW w:w="2976" w:type="dxa"/>
            <w:shd w:val="clear" w:color="auto" w:fill="auto"/>
          </w:tcPr>
          <w:p>
            <w:pPr>
              <w:keepNext/>
              <w:keepLines/>
              <w:spacing w:after="0"/>
              <w:jc w:val="center"/>
              <w:rPr>
                <w:rFonts w:ascii="Arial" w:hAnsi="Arial"/>
                <w:b/>
                <w:sz w:val="18"/>
              </w:rPr>
            </w:pPr>
            <w:r>
              <w:rPr>
                <w:rFonts w:ascii="Arial" w:hAnsi="Arial"/>
                <w:b/>
                <w:sz w:val="18"/>
              </w:rPr>
              <w:t>Message</w:t>
            </w:r>
          </w:p>
        </w:tc>
        <w:tc>
          <w:tcPr>
            <w:tcW w:w="567" w:type="dxa"/>
            <w:tcBorders>
              <w:top w:val="nil"/>
            </w:tcBorders>
            <w:shd w:val="clear" w:color="auto" w:fill="auto"/>
          </w:tcPr>
          <w:p>
            <w:pPr>
              <w:keepNext/>
              <w:keepLines/>
              <w:spacing w:after="0"/>
              <w:jc w:val="center"/>
              <w:rPr>
                <w:rFonts w:ascii="Arial" w:hAnsi="Arial"/>
                <w:b/>
                <w:sz w:val="18"/>
              </w:rPr>
            </w:pPr>
          </w:p>
        </w:tc>
        <w:tc>
          <w:tcPr>
            <w:tcW w:w="850" w:type="dxa"/>
            <w:tcBorders>
              <w:top w:val="nil"/>
            </w:tcBorders>
            <w:shd w:val="clear" w:color="auto" w:fill="auto"/>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96"/>
              <w:jc w:val="center"/>
            </w:pPr>
            <w:r>
              <w:t>1</w:t>
            </w:r>
          </w:p>
        </w:tc>
        <w:tc>
          <w:tcPr>
            <w:tcW w:w="3968" w:type="dxa"/>
            <w:shd w:val="clear" w:color="auto" w:fill="auto"/>
          </w:tcPr>
          <w:p>
            <w:pPr>
              <w:pStyle w:val="96"/>
            </w:pPr>
            <w:r>
              <w:t>SS adjusts cell levels according to row T</w:t>
            </w:r>
            <w:r>
              <w:rPr>
                <w:lang w:eastAsia="zh-CN"/>
              </w:rPr>
              <w:t xml:space="preserve">1 </w:t>
            </w:r>
            <w:r>
              <w:t>of table 6.5.3.1.3.2-1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tcBorders>
              <w:top w:val="nil"/>
            </w:tcBorders>
            <w:shd w:val="clear" w:color="auto" w:fill="auto"/>
          </w:tcPr>
          <w:p>
            <w:pPr>
              <w:pStyle w:val="96"/>
              <w:jc w:val="center"/>
            </w:pPr>
            <w:r>
              <w:t>-</w:t>
            </w:r>
          </w:p>
        </w:tc>
        <w:tc>
          <w:tcPr>
            <w:tcW w:w="850" w:type="dxa"/>
            <w:tcBorders>
              <w:top w:val="nil"/>
            </w:tcBorders>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2</w:t>
            </w:r>
          </w:p>
        </w:tc>
        <w:tc>
          <w:tcPr>
            <w:tcW w:w="3968" w:type="dxa"/>
            <w:shd w:val="clear" w:color="auto" w:fill="auto"/>
          </w:tcPr>
          <w:p>
            <w:pPr>
              <w:pStyle w:val="96"/>
            </w:pPr>
            <w:r>
              <w:t xml:space="preserve">The UE is Switched ON. </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3</w:t>
            </w:r>
          </w:p>
        </w:tc>
        <w:tc>
          <w:tcPr>
            <w:tcW w:w="3968" w:type="dxa"/>
            <w:shd w:val="clear" w:color="auto" w:fill="auto"/>
          </w:tcPr>
          <w:p>
            <w:pPr>
              <w:pStyle w:val="96"/>
            </w:pPr>
            <w:r>
              <w:t>Manual selection of SNPN identified by NR Cell 3 is performed (NOTE 1).</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4</w:t>
            </w:r>
          </w:p>
        </w:tc>
        <w:tc>
          <w:tcPr>
            <w:tcW w:w="3968" w:type="dxa"/>
            <w:shd w:val="clear" w:color="auto" w:fill="auto"/>
          </w:tcPr>
          <w:p>
            <w:pPr>
              <w:pStyle w:val="96"/>
            </w:pPr>
            <w:r>
              <w:t xml:space="preserve">Check: Does the UE transmit an </w:t>
            </w:r>
            <w:r>
              <w:rPr>
                <w:i/>
              </w:rPr>
              <w:t>RRCSetupRequest</w:t>
            </w:r>
            <w:r>
              <w:t xml:space="preserve"> on NR Cell 3 within the next 60s?</w:t>
            </w:r>
          </w:p>
        </w:tc>
        <w:tc>
          <w:tcPr>
            <w:tcW w:w="708" w:type="dxa"/>
            <w:shd w:val="clear" w:color="auto" w:fill="auto"/>
          </w:tcPr>
          <w:p>
            <w:pPr>
              <w:pStyle w:val="96"/>
              <w:jc w:val="center"/>
            </w:pPr>
            <w:r>
              <w:t>--&gt;</w:t>
            </w:r>
          </w:p>
        </w:tc>
        <w:tc>
          <w:tcPr>
            <w:tcW w:w="2976" w:type="dxa"/>
            <w:shd w:val="clear" w:color="auto" w:fill="auto"/>
          </w:tcPr>
          <w:p>
            <w:pPr>
              <w:pStyle w:val="96"/>
            </w:pPr>
            <w:r>
              <w:rPr>
                <w:i/>
              </w:rPr>
              <w:t>NR RRC: RRCSetupRequest</w:t>
            </w:r>
          </w:p>
        </w:tc>
        <w:tc>
          <w:tcPr>
            <w:tcW w:w="567" w:type="dxa"/>
            <w:shd w:val="clear" w:color="auto" w:fill="auto"/>
          </w:tcPr>
          <w:p>
            <w:pPr>
              <w:pStyle w:val="96"/>
              <w:jc w:val="center"/>
            </w:pPr>
            <w:r>
              <w:t>1</w:t>
            </w:r>
          </w:p>
        </w:tc>
        <w:tc>
          <w:tcPr>
            <w:tcW w:w="850" w:type="dxa"/>
            <w:shd w:val="clear" w:color="auto" w:fill="auto"/>
          </w:tcPr>
          <w:p>
            <w:pPr>
              <w:pStyle w:val="96"/>
              <w:jc w:val="cente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5</w:t>
            </w:r>
          </w:p>
        </w:tc>
        <w:tc>
          <w:tcPr>
            <w:tcW w:w="3968" w:type="dxa"/>
            <w:shd w:val="clear" w:color="auto" w:fill="auto"/>
          </w:tcPr>
          <w:p>
            <w:pPr>
              <w:pStyle w:val="96"/>
            </w:pPr>
            <w:r>
              <w:t>SS adjusts cell levels according to row T2</w:t>
            </w:r>
            <w:r>
              <w:rPr>
                <w:lang w:eastAsia="zh-CN"/>
              </w:rPr>
              <w:t xml:space="preserve"> </w:t>
            </w:r>
            <w:r>
              <w:t>of table 6.5.3.1.3.2-1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6</w:t>
            </w:r>
          </w:p>
        </w:tc>
        <w:tc>
          <w:tcPr>
            <w:tcW w:w="3968" w:type="dxa"/>
            <w:shd w:val="clear" w:color="auto" w:fill="auto"/>
          </w:tcPr>
          <w:p>
            <w:pPr>
              <w:pStyle w:val="96"/>
            </w:pPr>
            <w:r>
              <w:t>Manual selection of SNPN identified by NR Cell 1 is performed (NOTE 1).</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7</w:t>
            </w:r>
          </w:p>
        </w:tc>
        <w:tc>
          <w:tcPr>
            <w:tcW w:w="3968" w:type="dxa"/>
            <w:shd w:val="clear" w:color="auto" w:fill="auto"/>
          </w:tcPr>
          <w:p>
            <w:pPr>
              <w:pStyle w:val="96"/>
            </w:pPr>
            <w:r>
              <w:t xml:space="preserve">Check: Does the UE send a </w:t>
            </w:r>
            <w:r>
              <w:rPr>
                <w:i/>
              </w:rPr>
              <w:t>RRCSetupRequest</w:t>
            </w:r>
            <w:r>
              <w:t xml:space="preserve"> on NR Cell 1?</w:t>
            </w:r>
          </w:p>
        </w:tc>
        <w:tc>
          <w:tcPr>
            <w:tcW w:w="708" w:type="dxa"/>
            <w:shd w:val="clear" w:color="auto" w:fill="auto"/>
          </w:tcPr>
          <w:p>
            <w:pPr>
              <w:pStyle w:val="96"/>
              <w:jc w:val="center"/>
            </w:pPr>
            <w:r>
              <w:t>--&gt;</w:t>
            </w:r>
          </w:p>
        </w:tc>
        <w:tc>
          <w:tcPr>
            <w:tcW w:w="2976" w:type="dxa"/>
            <w:shd w:val="clear" w:color="auto" w:fill="auto"/>
          </w:tcPr>
          <w:p>
            <w:pPr>
              <w:pStyle w:val="96"/>
            </w:pPr>
            <w:r>
              <w:rPr>
                <w:i/>
              </w:rPr>
              <w:t>NR RRC: RRCSetupRequest</w:t>
            </w:r>
          </w:p>
        </w:tc>
        <w:tc>
          <w:tcPr>
            <w:tcW w:w="567" w:type="dxa"/>
            <w:shd w:val="clear" w:color="auto" w:fill="auto"/>
          </w:tcPr>
          <w:p>
            <w:pPr>
              <w:pStyle w:val="96"/>
              <w:jc w:val="center"/>
            </w:pPr>
            <w:r>
              <w:t>2</w:t>
            </w:r>
          </w:p>
        </w:tc>
        <w:tc>
          <w:tcPr>
            <w:tcW w:w="850" w:type="dxa"/>
            <w:shd w:val="clear" w:color="auto" w:fill="auto"/>
          </w:tcPr>
          <w:p>
            <w:pPr>
              <w:pStyle w:val="96"/>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rFonts w:hint="default" w:eastAsia="宋体"/>
                <w:lang w:val="en-US" w:eastAsia="zh-CN"/>
              </w:rPr>
            </w:pPr>
            <w:r>
              <w:t>8-25</w:t>
            </w:r>
            <w:ins w:id="0" w:author="Xu Jiali, ZTE" w:date="2024-10-29T09:56:34Z">
              <w:r>
                <w:rPr>
                  <w:rFonts w:hint="eastAsia" w:eastAsia="宋体"/>
                  <w:lang w:val="en-US" w:eastAsia="zh-CN"/>
                </w:rPr>
                <w:t>a</w:t>
              </w:r>
            </w:ins>
            <w:ins w:id="1" w:author="Xu Jiali, ZTE" w:date="2024-10-29T09:56:35Z">
              <w:r>
                <w:rPr>
                  <w:rFonts w:hint="eastAsia" w:eastAsia="宋体"/>
                  <w:lang w:val="en-US" w:eastAsia="zh-CN"/>
                </w:rPr>
                <w:t>1</w:t>
              </w:r>
            </w:ins>
          </w:p>
        </w:tc>
        <w:tc>
          <w:tcPr>
            <w:tcW w:w="3968" w:type="dxa"/>
            <w:shd w:val="clear" w:color="auto" w:fill="auto"/>
          </w:tcPr>
          <w:p>
            <w:pPr>
              <w:keepNext/>
              <w:keepLines/>
              <w:spacing w:after="0"/>
              <w:rPr>
                <w:rFonts w:ascii="Arial" w:hAnsi="Arial"/>
                <w:sz w:val="18"/>
              </w:rPr>
            </w:pPr>
            <w:r>
              <w:rPr>
                <w:rFonts w:ascii="Arial" w:hAnsi="Arial"/>
                <w:sz w:val="18"/>
              </w:rPr>
              <w:t xml:space="preserve">Steps 3 to 20a1 </w:t>
            </w:r>
            <w:r>
              <w:rPr>
                <w:rFonts w:ascii="Arial" w:hAnsi="Arial" w:cs="Arial"/>
                <w:sz w:val="18"/>
                <w:szCs w:val="18"/>
              </w:rPr>
              <w:t>of Table 4.5.2.2-2 of the generic procedure in</w:t>
            </w:r>
            <w:r>
              <w:rPr>
                <w:rFonts w:ascii="Arial" w:hAnsi="Arial"/>
                <w:sz w:val="18"/>
              </w:rPr>
              <w:t xml:space="preserve"> TS 38.508-1</w:t>
            </w:r>
            <w:ins w:id="2" w:author="Xu Jiali, ZTE" w:date="2024-10-29T09:56:31Z">
              <w:r>
                <w:rPr>
                  <w:rFonts w:hint="eastAsia" w:ascii="Arial" w:hAnsi="Arial" w:eastAsia="宋体"/>
                  <w:sz w:val="18"/>
                  <w:lang w:val="en-US" w:eastAsia="zh-CN"/>
                </w:rPr>
                <w:t xml:space="preserve"> [</w:t>
              </w:r>
            </w:ins>
            <w:ins w:id="3" w:author="Xu Jiali, ZTE" w:date="2024-10-29T09:56:32Z">
              <w:r>
                <w:rPr>
                  <w:rFonts w:hint="eastAsia" w:ascii="Arial" w:hAnsi="Arial" w:eastAsia="宋体"/>
                  <w:sz w:val="18"/>
                  <w:lang w:val="en-US" w:eastAsia="zh-CN"/>
                </w:rPr>
                <w:t>4</w:t>
              </w:r>
            </w:ins>
            <w:ins w:id="4" w:author="Xu Jiali, ZTE" w:date="2024-10-29T09:56:31Z">
              <w:r>
                <w:rPr>
                  <w:rFonts w:hint="eastAsia" w:ascii="Arial" w:hAnsi="Arial" w:eastAsia="宋体"/>
                  <w:sz w:val="18"/>
                  <w:lang w:val="en-US" w:eastAsia="zh-CN"/>
                </w:rPr>
                <w:t>]</w:t>
              </w:r>
            </w:ins>
            <w:r>
              <w:rPr>
                <w:rFonts w:ascii="Arial" w:hAnsi="Arial"/>
                <w:sz w:val="18"/>
              </w:rPr>
              <w:t xml:space="preserve"> are performed on NR Cell 1.</w:t>
            </w:r>
          </w:p>
          <w:p>
            <w:pPr>
              <w:keepNext/>
              <w:keepLines/>
              <w:spacing w:after="0"/>
            </w:pPr>
            <w:r>
              <w:rPr>
                <w:rFonts w:ascii="Arial" w:hAnsi="Arial"/>
                <w:sz w:val="18"/>
              </w:rPr>
              <w:t>NOTE: The UE performs registration and the RRC connection is released.</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96"/>
            </w:pPr>
            <w:r>
              <w:t>NOTE 1: This is performed via MMI or AT command.</w:t>
            </w:r>
          </w:p>
        </w:tc>
      </w:tr>
    </w:tbl>
    <w:p>
      <w:pPr>
        <w:rPr>
          <w:snapToGrid w:val="0"/>
        </w:rPr>
      </w:pPr>
    </w:p>
    <w:p>
      <w:pPr>
        <w:pStyle w:val="8"/>
      </w:pPr>
      <w:r>
        <w:t>6.5.3.1.3.3</w:t>
      </w:r>
      <w:r>
        <w:tab/>
      </w:r>
      <w:r>
        <w:t>Specific message contents</w:t>
      </w:r>
    </w:p>
    <w:p>
      <w:pPr>
        <w:pStyle w:val="112"/>
      </w:pPr>
      <w:r>
        <w:t xml:space="preserve">Table </w:t>
      </w:r>
      <w:r>
        <w:rPr>
          <w:snapToGrid w:val="0"/>
        </w:rPr>
        <w:t>6.5.3.1.3.3</w:t>
      </w:r>
      <w:r>
        <w:t xml:space="preserve">-1: SIB1 for NR Cell 1 (preamble and </w:t>
      </w:r>
      <w:r>
        <w:rPr>
          <w:lang w:eastAsia="zh-CN"/>
        </w:rPr>
        <w:t xml:space="preserve">all </w:t>
      </w:r>
      <w:r>
        <w:t>steps, Table 6.5.3.1.3.2-3)</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shd w:val="clear" w:color="auto" w:fill="auto"/>
          </w:tcPr>
          <w:p>
            <w:pPr>
              <w:pStyle w:val="98"/>
              <w:jc w:val="left"/>
              <w:rPr>
                <w:b w:val="0"/>
              </w:rPr>
            </w:pPr>
            <w:r>
              <w:rPr>
                <w:b w:val="0"/>
              </w:rPr>
              <w:t>Derivation path: TS 38.508-1 [4], Table 4.6.1-28 with condition SNPN and eNPN</w:t>
            </w:r>
          </w:p>
        </w:tc>
      </w:tr>
    </w:tbl>
    <w:p/>
    <w:p>
      <w:pPr>
        <w:pStyle w:val="112"/>
      </w:pPr>
      <w:r>
        <w:t xml:space="preserve">Table </w:t>
      </w:r>
      <w:r>
        <w:rPr>
          <w:snapToGrid w:val="0"/>
        </w:rPr>
        <w:t>6.5.3.1.3.3</w:t>
      </w:r>
      <w:r>
        <w:t xml:space="preserve">-2: SIB1 for NR Cell 3 (preamble and </w:t>
      </w:r>
      <w:r>
        <w:rPr>
          <w:lang w:eastAsia="zh-CN"/>
        </w:rPr>
        <w:t xml:space="preserve">all </w:t>
      </w:r>
      <w:r>
        <w:t>steps, Table 6.5.3.1.3.2-3)</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gridSpan w:val="4"/>
            <w:shd w:val="clear" w:color="auto" w:fill="auto"/>
          </w:tcPr>
          <w:p>
            <w:pPr>
              <w:pStyle w:val="98"/>
              <w:jc w:val="left"/>
              <w:rPr>
                <w:b w:val="0"/>
              </w:rPr>
            </w:pPr>
            <w:r>
              <w:rPr>
                <w:b w:val="0"/>
              </w:rPr>
              <w:t>Derivation path: TS 38.508-1 [4], Table 4.6.1-28 with condition SNPN and 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jc w:val="left"/>
              <w:rPr>
                <w:b w:val="0"/>
              </w:rPr>
            </w:pPr>
            <w:r>
              <w:rPr>
                <w:b w:val="0"/>
              </w:rPr>
              <w:t>SIB1 ::= SEQUENCE {</w:t>
            </w:r>
          </w:p>
        </w:tc>
        <w:tc>
          <w:tcPr>
            <w:tcW w:w="2267" w:type="dxa"/>
            <w:tcBorders>
              <w:bottom w:val="single" w:color="auto" w:sz="4" w:space="0"/>
            </w:tcBorders>
            <w:shd w:val="clear" w:color="auto" w:fill="auto"/>
          </w:tcPr>
          <w:p>
            <w:pPr>
              <w:pStyle w:val="98"/>
              <w:jc w:val="left"/>
              <w:rPr>
                <w:b w:val="0"/>
              </w:rPr>
            </w:pPr>
          </w:p>
        </w:tc>
        <w:tc>
          <w:tcPr>
            <w:tcW w:w="1700" w:type="dxa"/>
            <w:tcBorders>
              <w:bottom w:val="single" w:color="auto" w:sz="4" w:space="0"/>
            </w:tcBorders>
            <w:shd w:val="clear" w:color="auto" w:fill="auto"/>
          </w:tcPr>
          <w:p>
            <w:pPr>
              <w:pStyle w:val="98"/>
              <w:jc w:val="left"/>
              <w:rPr>
                <w:b w:val="0"/>
              </w:rPr>
            </w:pPr>
          </w:p>
        </w:tc>
        <w:tc>
          <w:tcPr>
            <w:tcW w:w="1135" w:type="dxa"/>
            <w:tcBorders>
              <w:bottom w:val="single" w:color="auto" w:sz="4" w:space="0"/>
            </w:tcBorders>
            <w:shd w:val="clear" w:color="auto" w:fill="auto"/>
          </w:tcPr>
          <w:p>
            <w:pPr>
              <w:pStyle w:val="9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SEQUENCE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t xml:space="preserve">    snpn-AccessInfoList-r17 SEQUENCE (SIZE (1..maxNPN-r16)) OF SNPN-AccessInfo-r17{</w:t>
            </w:r>
          </w:p>
        </w:tc>
        <w:tc>
          <w:tcPr>
            <w:tcW w:w="2267" w:type="dxa"/>
            <w:tcBorders>
              <w:top w:val="single" w:color="auto" w:sz="4" w:space="0"/>
              <w:bottom w:val="single" w:color="auto" w:sz="4" w:space="0"/>
            </w:tcBorders>
            <w:shd w:val="clear" w:color="auto" w:fill="auto"/>
          </w:tcPr>
          <w:p>
            <w:pPr>
              <w:pStyle w:val="96"/>
            </w:pPr>
            <w:r>
              <w:t>1 entry</w:t>
            </w: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SNPN-AccessInfo-r17[1] SEQUENCE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rPr>
                <w:lang w:eastAsia="zh-CN"/>
              </w:rPr>
            </w:pPr>
            <w:r>
              <w:rPr>
                <w:lang w:eastAsia="zh-CN"/>
              </w:rPr>
              <w:t>entry 1</w:t>
            </w: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rPr>
                <w:rFonts w:eastAsia="宋体"/>
              </w:rPr>
              <w:t xml:space="preserve">        extCH-Supported-r17</w:t>
            </w:r>
          </w:p>
        </w:tc>
        <w:tc>
          <w:tcPr>
            <w:tcW w:w="2267" w:type="dxa"/>
            <w:tcBorders>
              <w:top w:val="single" w:color="auto" w:sz="4" w:space="0"/>
              <w:bottom w:val="single" w:color="auto" w:sz="4" w:space="0"/>
            </w:tcBorders>
            <w:shd w:val="clear" w:color="auto" w:fill="auto"/>
          </w:tcPr>
          <w:p>
            <w:pPr>
              <w:pStyle w:val="96"/>
            </w:pPr>
            <w:r>
              <w:t xml:space="preserve"> </w:t>
            </w:r>
            <w:r>
              <w:rPr>
                <w:rFonts w:eastAsia="宋体"/>
              </w:rPr>
              <w:t>Not present</w:t>
            </w: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rPr>
                <w:rFonts w:eastAsia="宋体"/>
              </w:rPr>
              <w:t xml:space="preserve">        extCH-WithoutConfigAllowed-r17</w:t>
            </w:r>
          </w:p>
        </w:tc>
        <w:tc>
          <w:tcPr>
            <w:tcW w:w="2267" w:type="dxa"/>
            <w:tcBorders>
              <w:top w:val="single" w:color="auto" w:sz="4" w:space="0"/>
              <w:bottom w:val="single" w:color="auto" w:sz="4" w:space="0"/>
            </w:tcBorders>
            <w:shd w:val="clear" w:color="auto" w:fill="auto"/>
          </w:tcPr>
          <w:p>
            <w:pPr>
              <w:pStyle w:val="96"/>
            </w:pPr>
            <w:r>
              <w:t xml:space="preserve"> </w:t>
            </w:r>
            <w:r>
              <w:rPr>
                <w:rFonts w:eastAsia="宋体"/>
              </w:rPr>
              <w:t>Not present</w:t>
            </w: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 w:author="Xu Jiali, ZTE" w:date="2024-10-29T09:57:10Z"/>
        </w:trPr>
        <w:tc>
          <w:tcPr>
            <w:tcW w:w="4535" w:type="dxa"/>
            <w:tcBorders>
              <w:top w:val="single" w:color="auto" w:sz="4" w:space="0"/>
              <w:bottom w:val="single" w:color="auto" w:sz="4" w:space="0"/>
            </w:tcBorders>
            <w:shd w:val="clear" w:color="auto" w:fill="auto"/>
          </w:tcPr>
          <w:p>
            <w:pPr>
              <w:pStyle w:val="96"/>
              <w:rPr>
                <w:ins w:id="6" w:author="Xu Jiali, ZTE" w:date="2024-10-29T09:57:10Z"/>
                <w:rFonts w:eastAsia="宋体"/>
              </w:rPr>
            </w:pPr>
            <w:ins w:id="7" w:author="Xu Jiali, ZTE" w:date="2024-10-29T09:57:14Z">
              <w:r>
                <w:rPr>
                  <w:lang w:eastAsia="zh-CN"/>
                </w:rPr>
                <w:t xml:space="preserve">    </w:t>
              </w:r>
            </w:ins>
            <w:ins w:id="8" w:author="Xu Jiali, ZTE" w:date="2024-10-29T09:57:15Z">
              <w:r>
                <w:rPr>
                  <w:rFonts w:hint="eastAsia"/>
                  <w:lang w:val="en-US" w:eastAsia="zh-CN"/>
                </w:rPr>
                <w:t xml:space="preserve">  </w:t>
              </w:r>
            </w:ins>
            <w:ins w:id="9" w:author="Xu Jiali, ZTE" w:date="2024-10-29T09:57:14Z">
              <w:r>
                <w:rPr>
                  <w:lang w:eastAsia="zh-CN"/>
                </w:rPr>
                <w:t>}</w:t>
              </w:r>
            </w:ins>
          </w:p>
        </w:tc>
        <w:tc>
          <w:tcPr>
            <w:tcW w:w="2267" w:type="dxa"/>
            <w:tcBorders>
              <w:top w:val="single" w:color="auto" w:sz="4" w:space="0"/>
              <w:bottom w:val="single" w:color="auto" w:sz="4" w:space="0"/>
            </w:tcBorders>
            <w:shd w:val="clear" w:color="auto" w:fill="auto"/>
          </w:tcPr>
          <w:p>
            <w:pPr>
              <w:pStyle w:val="96"/>
              <w:rPr>
                <w:ins w:id="10" w:author="Xu Jiali, ZTE" w:date="2024-10-29T09:57:10Z"/>
              </w:rPr>
            </w:pPr>
          </w:p>
        </w:tc>
        <w:tc>
          <w:tcPr>
            <w:tcW w:w="1700" w:type="dxa"/>
            <w:tcBorders>
              <w:top w:val="single" w:color="auto" w:sz="4" w:space="0"/>
              <w:bottom w:val="single" w:color="auto" w:sz="4" w:space="0"/>
            </w:tcBorders>
            <w:shd w:val="clear" w:color="auto" w:fill="auto"/>
          </w:tcPr>
          <w:p>
            <w:pPr>
              <w:pStyle w:val="96"/>
              <w:rPr>
                <w:ins w:id="11" w:author="Xu Jiali, ZTE" w:date="2024-10-29T09:57:10Z"/>
              </w:rPr>
            </w:pPr>
          </w:p>
        </w:tc>
        <w:tc>
          <w:tcPr>
            <w:tcW w:w="1135" w:type="dxa"/>
            <w:tcBorders>
              <w:top w:val="single" w:color="auto" w:sz="4" w:space="0"/>
              <w:bottom w:val="single" w:color="auto" w:sz="4" w:space="0"/>
            </w:tcBorders>
            <w:shd w:val="clear" w:color="auto" w:fill="auto"/>
          </w:tcPr>
          <w:p>
            <w:pPr>
              <w:pStyle w:val="96"/>
              <w:rPr>
                <w:ins w:id="12" w:author="Xu Jiali, ZTE" w:date="2024-10-29T09:57:1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rPr>
                <w:lang w:eastAsia="zh-CN"/>
              </w:rPr>
              <w:t xml:space="preserv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rPr>
                <w:lang w:eastAsia="zh-CN"/>
              </w:rP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bl>
    <w:p/>
    <w:p>
      <w:pPr>
        <w:pStyle w:val="5"/>
      </w:pPr>
      <w:r>
        <w:t>6.5.3.2</w:t>
      </w:r>
      <w:r>
        <w:tab/>
      </w:r>
      <w:r>
        <w:t>SNPN Selection in Manual Mode / Onboarding services in SNPN</w:t>
      </w:r>
    </w:p>
    <w:p>
      <w:pPr>
        <w:pStyle w:val="8"/>
      </w:pPr>
      <w:r>
        <w:t>6.5.3.2.1</w:t>
      </w:r>
      <w:r>
        <w:tab/>
      </w:r>
      <w:r>
        <w:t>Test Purpose (TP)</w:t>
      </w:r>
    </w:p>
    <w:p>
      <w:pPr>
        <w:pStyle w:val="8"/>
      </w:pPr>
      <w:r>
        <w:t>(1)</w:t>
      </w:r>
    </w:p>
    <w:p>
      <w:pPr>
        <w:pStyle w:val="93"/>
      </w:pPr>
      <w:r>
        <w:rPr>
          <w:b/>
          <w:bCs/>
        </w:rPr>
        <w:t>with</w:t>
      </w:r>
      <w:r>
        <w:t xml:space="preserve"> { UE in Manual network selection mode and an </w:t>
      </w:r>
      <w:r>
        <w:rPr>
          <w:lang w:eastAsia="zh-CN"/>
        </w:rPr>
        <w:t>SNPN not supporting onboarding services is available</w:t>
      </w:r>
      <w:r>
        <w:t xml:space="preserve"> }</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does not indicate to the user any available SNPN }</w:t>
      </w:r>
    </w:p>
    <w:p>
      <w:pPr>
        <w:pStyle w:val="93"/>
      </w:pPr>
      <w:r>
        <w:t xml:space="preserve">            }</w:t>
      </w:r>
    </w:p>
    <w:p>
      <w:pPr>
        <w:pStyle w:val="8"/>
      </w:pPr>
      <w:r>
        <w:t>(2)</w:t>
      </w:r>
    </w:p>
    <w:p>
      <w:pPr>
        <w:pStyle w:val="93"/>
      </w:pPr>
      <w:r>
        <w:t>with { UE in Manual network selection mode }</w:t>
      </w:r>
    </w:p>
    <w:p>
      <w:pPr>
        <w:pStyle w:val="93"/>
      </w:pPr>
      <w:r>
        <w:t>ensure that {</w:t>
      </w:r>
    </w:p>
    <w:p>
      <w:pPr>
        <w:pStyle w:val="93"/>
      </w:pPr>
      <w:r>
        <w:t xml:space="preserve">  when { An SNPN is available, which supports onboarding services but does not match the UE’s onboarding SNPN selection information }</w:t>
      </w:r>
    </w:p>
    <w:p>
      <w:pPr>
        <w:pStyle w:val="93"/>
      </w:pPr>
      <w:r>
        <w:t xml:space="preserve">    then { UE indicate to the user the SNPN not matching the onboarding SNPN selection information }</w:t>
      </w:r>
    </w:p>
    <w:p>
      <w:pPr>
        <w:pStyle w:val="93"/>
      </w:pPr>
      <w:r>
        <w:t xml:space="preserve">            }</w:t>
      </w:r>
    </w:p>
    <w:p>
      <w:pPr>
        <w:pStyle w:val="93"/>
      </w:pPr>
    </w:p>
    <w:p>
      <w:pPr>
        <w:pStyle w:val="8"/>
      </w:pPr>
      <w:r>
        <w:t>(3)</w:t>
      </w:r>
    </w:p>
    <w:p>
      <w:pPr>
        <w:pStyle w:val="93"/>
      </w:pPr>
      <w:r>
        <w:rPr>
          <w:b/>
          <w:bCs/>
        </w:rPr>
        <w:t>with</w:t>
      </w:r>
      <w:r>
        <w:t xml:space="preserve"> { UE in Manual network selection mode }</w:t>
      </w:r>
    </w:p>
    <w:p>
      <w:pPr>
        <w:pStyle w:val="93"/>
      </w:pPr>
      <w:r>
        <w:rPr>
          <w:b/>
          <w:bCs/>
        </w:rPr>
        <w:t>ensure that</w:t>
      </w:r>
      <w:r>
        <w:t xml:space="preserve"> {</w:t>
      </w:r>
    </w:p>
    <w:p>
      <w:pPr>
        <w:pStyle w:val="93"/>
      </w:pPr>
      <w:r>
        <w:t xml:space="preserve">  </w:t>
      </w:r>
      <w:r>
        <w:rPr>
          <w:b/>
          <w:bCs/>
        </w:rPr>
        <w:t>when</w:t>
      </w:r>
      <w:r>
        <w:t xml:space="preserve"> { An </w:t>
      </w:r>
      <w:r>
        <w:rPr>
          <w:lang w:eastAsia="zh-CN"/>
        </w:rPr>
        <w:t>SNPN indicating that onboarding is allowed is available</w:t>
      </w:r>
      <w:r>
        <w:t xml:space="preserve"> and matches the onboarding SNPN selection information }</w:t>
      </w:r>
    </w:p>
    <w:p>
      <w:pPr>
        <w:pStyle w:val="93"/>
      </w:pPr>
      <w:r>
        <w:t xml:space="preserve">    </w:t>
      </w:r>
      <w:r>
        <w:rPr>
          <w:b/>
          <w:bCs/>
        </w:rPr>
        <w:t>then</w:t>
      </w:r>
      <w:r>
        <w:t xml:space="preserve"> { UE indicates user the SNPN and user selects the SNPN }</w:t>
      </w:r>
    </w:p>
    <w:p>
      <w:pPr>
        <w:pStyle w:val="93"/>
      </w:pPr>
      <w:r>
        <w:t xml:space="preserve">            }</w:t>
      </w:r>
    </w:p>
    <w:p>
      <w:pPr>
        <w:pStyle w:val="93"/>
      </w:pPr>
    </w:p>
    <w:p>
      <w:pPr>
        <w:pStyle w:val="8"/>
      </w:pPr>
      <w:r>
        <w:t>6.5.3.2.2</w:t>
      </w:r>
      <w:r>
        <w:tab/>
      </w:r>
      <w:r>
        <w:t>Conformance requirements</w:t>
      </w:r>
    </w:p>
    <w:p>
      <w:r>
        <w:t>References: The conformance requirements covered in the current TC are specified in: TS 23.122 clauses 4.9.3.1.4. Unless otherwise stated these are Rel-17 requirements.</w:t>
      </w:r>
    </w:p>
    <w:p>
      <w:r>
        <w:t>[TS 23.122, clause 4.9.3.1.4]</w:t>
      </w:r>
    </w:p>
    <w:p>
      <w:pPr>
        <w:rPr>
          <w:rFonts w:eastAsia="等线"/>
        </w:rPr>
      </w:pPr>
      <w:r>
        <w:rPr>
          <w:rFonts w:eastAsia="等线"/>
        </w:rPr>
        <w:t>The MS shall indicate to upper layers one or more SNPNs, which are available and indicate that onboarding is allowed.</w:t>
      </w:r>
    </w:p>
    <w:p>
      <w:pPr>
        <w:rPr>
          <w:rFonts w:eastAsia="等线"/>
        </w:rPr>
      </w:pPr>
      <w:r>
        <w:rPr>
          <w:rFonts w:eastAsia="等线"/>
        </w:rPr>
        <w:t>These include SNPNs in the list of "permanently forbidden SNPNs" for onboarding services and the list of "temporarily forbidden SNPNs" for onboarding services. The MS may indicate to the user whether the available SNPNs are present in the list of "temporarily forbidden SNPNs" or the list of "permanently forbidden SNPNs".</w:t>
      </w:r>
    </w:p>
    <w:p>
      <w:pPr>
        <w:rPr>
          <w:rFonts w:eastAsia="等线"/>
        </w:rPr>
      </w:pPr>
      <w:r>
        <w:rPr>
          <w:rFonts w:eastAsia="等线"/>
        </w:rPr>
        <w:t>The MS shall limit its search for the SNPN to the NG-RAN access technology.</w:t>
      </w:r>
    </w:p>
    <w:p>
      <w:pPr>
        <w:rPr>
          <w:rFonts w:eastAsia="等线"/>
        </w:rPr>
      </w:pPr>
      <w:r>
        <w:rPr>
          <w:rFonts w:eastAsia="等线"/>
        </w:rPr>
        <w:t>For each SNPN indicated to upper layers, the MS shall indicate to the upper layers along with the SNPN identity:</w:t>
      </w:r>
    </w:p>
    <w:p>
      <w:pPr>
        <w:ind w:left="568" w:hanging="284"/>
        <w:rPr>
          <w:rFonts w:eastAsia="等线"/>
        </w:rPr>
      </w:pPr>
      <w:r>
        <w:rPr>
          <w:rFonts w:eastAsia="等线"/>
        </w:rPr>
        <w:t>a)</w:t>
      </w:r>
      <w:r>
        <w:rPr>
          <w:rFonts w:eastAsia="等线"/>
        </w:rPr>
        <w:tab/>
      </w:r>
      <w:r>
        <w:rPr>
          <w:rFonts w:eastAsia="等线"/>
        </w:rPr>
        <w:t>whether the SNPN matches the onboarding SNPN selection information, if pre-configured; and</w:t>
      </w:r>
    </w:p>
    <w:p>
      <w:pPr>
        <w:ind w:left="568" w:hanging="284"/>
        <w:rPr>
          <w:rFonts w:eastAsia="等线"/>
        </w:rPr>
      </w:pPr>
      <w:r>
        <w:rPr>
          <w:rFonts w:eastAsia="等线"/>
        </w:rPr>
        <w:t>b)</w:t>
      </w:r>
      <w:r>
        <w:rPr>
          <w:rFonts w:eastAsia="等线"/>
        </w:rPr>
        <w:tab/>
      </w:r>
      <w:r>
        <w:rPr>
          <w:rFonts w:eastAsia="等线"/>
        </w:rPr>
        <w:t>the human-readable network name, if the system information broadcast includes the human-readable network name for the SNPN.</w:t>
      </w:r>
    </w:p>
    <w:p>
      <w:pPr>
        <w:pStyle w:val="8"/>
      </w:pPr>
      <w:r>
        <w:t>6.5.3.2.3</w:t>
      </w:r>
      <w:r>
        <w:tab/>
      </w:r>
      <w:r>
        <w:t>Test description</w:t>
      </w:r>
    </w:p>
    <w:p>
      <w:pPr>
        <w:pStyle w:val="8"/>
      </w:pPr>
      <w:r>
        <w:t>6.5.3.2.3.1</w:t>
      </w:r>
      <w:r>
        <w:tab/>
      </w:r>
      <w:r>
        <w:t>Pre-test conditions</w:t>
      </w:r>
    </w:p>
    <w:p>
      <w:pPr>
        <w:pStyle w:val="8"/>
      </w:pPr>
      <w:r>
        <w:t>System Simulator:</w:t>
      </w:r>
    </w:p>
    <w:p>
      <w:pPr>
        <w:pStyle w:val="108"/>
      </w:pPr>
      <w:r>
        <w:t>-</w:t>
      </w:r>
      <w:r>
        <w:tab/>
      </w:r>
      <w:r>
        <w:t>3 SNPN cells: NR Cell 1, NR Cell 2, and NR Cell 4 are configured broadcasting default SNPN IDs as indicated in TS 38.508-1 [4] Table 4.4.2-4.</w:t>
      </w:r>
    </w:p>
    <w:p>
      <w:pPr>
        <w:pStyle w:val="108"/>
      </w:pPr>
      <w:r>
        <w:t>-</w:t>
      </w:r>
      <w:r>
        <w:tab/>
      </w:r>
      <w:r>
        <w:t>System information combination NR-26 as defined in TS 38.508-1 [4] clause 4.4.3.1.2 is used in NR NR Cell 1, NR Cell 2, and NR Cell 4.</w:t>
      </w:r>
    </w:p>
    <w:p>
      <w:pPr>
        <w:pStyle w:val="8"/>
      </w:pPr>
      <w:r>
        <w:t>UE:</w:t>
      </w:r>
    </w:p>
    <w:p>
      <w:pPr>
        <w:pStyle w:val="108"/>
      </w:pPr>
      <w:r>
        <w:t>-</w:t>
      </w:r>
      <w:r>
        <w:tab/>
      </w:r>
      <w:r>
        <w:t>The UE is in Manual SNPN selection mode.</w:t>
      </w:r>
    </w:p>
    <w:p>
      <w:pPr>
        <w:pStyle w:val="108"/>
      </w:pPr>
      <w:r>
        <w:t>-</w:t>
      </w:r>
      <w:r>
        <w:tab/>
      </w:r>
      <w:r>
        <w:t>The UE is provisioned default UE credentials and is pre-configured with onboarding SNPN selection information to allow access to SNPN identified by NR Cell 2.</w:t>
      </w:r>
    </w:p>
    <w:p>
      <w:pPr>
        <w:pStyle w:val="8"/>
      </w:pPr>
      <w:r>
        <w:t>Preamble:</w:t>
      </w:r>
    </w:p>
    <w:p>
      <w:pPr>
        <w:pStyle w:val="108"/>
      </w:pPr>
      <w:r>
        <w:t>-</w:t>
      </w:r>
      <w:r>
        <w:tab/>
      </w:r>
      <w:r>
        <w:t>Ensure that the UE has cleared the Registered SNPN, a</w:t>
      </w:r>
      <w:r>
        <w:rPr>
          <w:lang w:eastAsia="zh-CN"/>
        </w:rPr>
        <w:t xml:space="preserve">nd </w:t>
      </w:r>
      <w:r>
        <w:rPr>
          <w:lang w:eastAsia="zh-TW"/>
        </w:rPr>
        <w:t>the UE is in state Switched OFF (state 0-A)</w:t>
      </w:r>
      <w:r>
        <w:t>.</w:t>
      </w:r>
    </w:p>
    <w:p>
      <w:pPr>
        <w:pStyle w:val="8"/>
      </w:pPr>
      <w:r>
        <w:t>6.5.3.2.3.2</w:t>
      </w:r>
      <w:r>
        <w:tab/>
      </w:r>
      <w:r>
        <w:t xml:space="preserve">Test </w:t>
      </w:r>
      <w:r>
        <w:rPr>
          <w:snapToGrid w:val="0"/>
        </w:rPr>
        <w:t>procedure</w:t>
      </w:r>
      <w:r>
        <w:t xml:space="preserve"> sequence</w:t>
      </w:r>
    </w:p>
    <w:p>
      <w:r>
        <w:t>Table 6.5.3.2.3.2-1</w:t>
      </w:r>
      <w:r>
        <w:rPr>
          <w:lang w:eastAsia="zh-CN"/>
        </w:rPr>
        <w:t>/2</w:t>
      </w:r>
      <w:r>
        <w:t xml:space="preserve"> shows the cell configurations used during the test. Subsequent configurations marked “T1”, “T2” etc are applied at the points indicated in the Main behaviour description in Table 6.5.3.2.3.2-3. Cell powers are chosen for a serving cell and a non-suitable “Off” cell as defined in TS 38.508-1 [4] Table 6.2.2.1-3 for FR1 and Table 6.2.2.2-2 for FR2.</w:t>
      </w:r>
    </w:p>
    <w:p>
      <w:pPr>
        <w:pStyle w:val="112"/>
      </w:pPr>
      <w:r>
        <w:t>Table 6.5.3.2.3.2-1: Time instances of cell power level and parameter changes for FR1</w:t>
      </w:r>
    </w:p>
    <w:tbl>
      <w:tblPr>
        <w:tblStyle w:val="61"/>
        <w:tblW w:w="8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1121"/>
        <w:gridCol w:w="1048"/>
        <w:gridCol w:w="924"/>
        <w:gridCol w:w="992"/>
        <w:gridCol w:w="99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32" w:type="dxa"/>
            <w:shd w:val="clear" w:color="auto" w:fill="auto"/>
          </w:tcPr>
          <w:p>
            <w:pPr>
              <w:keepNext/>
              <w:keepLines/>
              <w:spacing w:after="0"/>
              <w:jc w:val="center"/>
              <w:rPr>
                <w:rFonts w:ascii="Arial" w:hAnsi="Arial"/>
                <w:b/>
                <w:sz w:val="18"/>
              </w:rPr>
            </w:pPr>
            <w:r>
              <w:rPr>
                <w:rFonts w:ascii="Arial" w:hAnsi="Arial"/>
                <w:b/>
                <w:sz w:val="18"/>
              </w:rPr>
              <w:t> </w:t>
            </w:r>
          </w:p>
        </w:tc>
        <w:tc>
          <w:tcPr>
            <w:tcW w:w="1121" w:type="dxa"/>
            <w:shd w:val="clear" w:color="auto" w:fill="auto"/>
          </w:tcPr>
          <w:p>
            <w:pPr>
              <w:keepNext/>
              <w:keepLines/>
              <w:spacing w:after="0"/>
              <w:jc w:val="center"/>
              <w:rPr>
                <w:rFonts w:ascii="Arial" w:hAnsi="Arial"/>
                <w:b/>
                <w:sz w:val="18"/>
              </w:rPr>
            </w:pPr>
            <w:r>
              <w:rPr>
                <w:rFonts w:ascii="Arial" w:hAnsi="Arial"/>
                <w:b/>
                <w:sz w:val="18"/>
              </w:rPr>
              <w:t>Parameter</w:t>
            </w:r>
          </w:p>
        </w:tc>
        <w:tc>
          <w:tcPr>
            <w:tcW w:w="1048" w:type="dxa"/>
            <w:shd w:val="clear" w:color="auto" w:fill="auto"/>
          </w:tcPr>
          <w:p>
            <w:pPr>
              <w:keepNext/>
              <w:keepLines/>
              <w:spacing w:after="0"/>
              <w:jc w:val="center"/>
              <w:rPr>
                <w:rFonts w:ascii="Arial" w:hAnsi="Arial"/>
                <w:b/>
                <w:sz w:val="18"/>
              </w:rPr>
            </w:pPr>
            <w:r>
              <w:rPr>
                <w:rFonts w:ascii="Arial" w:hAnsi="Arial"/>
                <w:b/>
                <w:sz w:val="18"/>
              </w:rPr>
              <w:t>Unit</w:t>
            </w:r>
          </w:p>
        </w:tc>
        <w:tc>
          <w:tcPr>
            <w:tcW w:w="924" w:type="dxa"/>
            <w:shd w:val="clear" w:color="auto" w:fill="auto"/>
          </w:tcPr>
          <w:p>
            <w:pPr>
              <w:keepNext/>
              <w:keepLines/>
              <w:spacing w:after="0"/>
              <w:jc w:val="center"/>
              <w:rPr>
                <w:rFonts w:ascii="Arial" w:hAnsi="Arial"/>
                <w:b/>
                <w:sz w:val="18"/>
              </w:rPr>
            </w:pPr>
            <w:r>
              <w:rPr>
                <w:rFonts w:ascii="Arial" w:hAnsi="Arial"/>
                <w:b/>
                <w:sz w:val="18"/>
              </w:rPr>
              <w:t>NR Cell 1</w:t>
            </w:r>
          </w:p>
        </w:tc>
        <w:tc>
          <w:tcPr>
            <w:tcW w:w="992" w:type="dxa"/>
            <w:shd w:val="clear" w:color="auto" w:fill="auto"/>
          </w:tcPr>
          <w:p>
            <w:pPr>
              <w:keepNext/>
              <w:keepLines/>
              <w:spacing w:after="0"/>
              <w:jc w:val="center"/>
              <w:rPr>
                <w:rFonts w:ascii="Arial" w:hAnsi="Arial"/>
                <w:b/>
                <w:sz w:val="18"/>
              </w:rPr>
            </w:pPr>
            <w:r>
              <w:rPr>
                <w:rFonts w:ascii="Arial" w:hAnsi="Arial"/>
                <w:b/>
                <w:sz w:val="18"/>
              </w:rPr>
              <w:t>NR Cell 2</w:t>
            </w:r>
          </w:p>
        </w:tc>
        <w:tc>
          <w:tcPr>
            <w:tcW w:w="992" w:type="dxa"/>
          </w:tcPr>
          <w:p>
            <w:pPr>
              <w:keepNext/>
              <w:keepLines/>
              <w:spacing w:after="0"/>
              <w:jc w:val="center"/>
              <w:rPr>
                <w:rFonts w:ascii="Arial" w:hAnsi="Arial"/>
                <w:b/>
                <w:sz w:val="18"/>
                <w:lang w:eastAsia="zh-CN"/>
              </w:rPr>
            </w:pPr>
            <w:r>
              <w:rPr>
                <w:rFonts w:ascii="Arial" w:hAnsi="Arial"/>
                <w:b/>
                <w:sz w:val="18"/>
              </w:rPr>
              <w:t xml:space="preserve">NR Cell </w:t>
            </w:r>
            <w:r>
              <w:rPr>
                <w:rFonts w:ascii="Arial" w:hAnsi="Arial"/>
                <w:b/>
                <w:sz w:val="18"/>
                <w:lang w:eastAsia="zh-CN"/>
              </w:rPr>
              <w:t>4</w:t>
            </w:r>
          </w:p>
        </w:tc>
        <w:tc>
          <w:tcPr>
            <w:tcW w:w="3119"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32"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121"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8"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24" w:type="dxa"/>
            <w:shd w:val="clear" w:color="auto" w:fill="auto"/>
            <w:vAlign w:val="center"/>
          </w:tcPr>
          <w:p>
            <w:pPr>
              <w:keepNext/>
              <w:keepLines/>
              <w:spacing w:after="0"/>
              <w:jc w:val="center"/>
              <w:rPr>
                <w:rFonts w:ascii="Arial" w:hAnsi="Arial"/>
                <w:sz w:val="18"/>
              </w:rPr>
            </w:pPr>
            <w:r>
              <w:rPr>
                <w:rFonts w:ascii="Arial" w:hAnsi="Arial"/>
                <w:sz w:val="18"/>
                <w:lang w:eastAsia="zh-CN"/>
              </w:rPr>
              <w:t>-88</w:t>
            </w:r>
          </w:p>
        </w:tc>
        <w:tc>
          <w:tcPr>
            <w:tcW w:w="992" w:type="dxa"/>
            <w:shd w:val="clear" w:color="auto" w:fill="auto"/>
            <w:vAlign w:val="center"/>
          </w:tcPr>
          <w:p>
            <w:pPr>
              <w:keepNext/>
              <w:keepLines/>
              <w:spacing w:after="0"/>
              <w:jc w:val="center"/>
              <w:rPr>
                <w:rFonts w:ascii="Arial" w:hAnsi="Arial"/>
                <w:sz w:val="18"/>
              </w:rPr>
            </w:pPr>
            <w:r>
              <w:rPr>
                <w:rFonts w:ascii="Arial" w:hAnsi="Arial"/>
                <w:sz w:val="18"/>
              </w:rPr>
              <w:t>“Off”</w:t>
            </w:r>
          </w:p>
        </w:tc>
        <w:tc>
          <w:tcPr>
            <w:tcW w:w="992" w:type="dxa"/>
            <w:vAlign w:val="center"/>
          </w:tcPr>
          <w:p>
            <w:pPr>
              <w:keepNext/>
              <w:keepLines/>
              <w:spacing w:after="0"/>
              <w:jc w:val="center"/>
              <w:rPr>
                <w:rFonts w:ascii="Arial" w:hAnsi="Arial"/>
                <w:sz w:val="18"/>
              </w:rPr>
            </w:pPr>
            <w:r>
              <w:rPr>
                <w:rFonts w:ascii="Arial" w:hAnsi="Arial"/>
                <w:sz w:val="18"/>
              </w:rPr>
              <w:t>“Off”</w:t>
            </w:r>
          </w:p>
        </w:tc>
        <w:tc>
          <w:tcPr>
            <w:tcW w:w="311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2"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121"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8"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24"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992" w:type="dxa"/>
            <w:shd w:val="clear" w:color="auto" w:fill="auto"/>
            <w:vAlign w:val="center"/>
          </w:tcPr>
          <w:p>
            <w:pPr>
              <w:keepNext/>
              <w:keepLines/>
              <w:spacing w:after="0"/>
              <w:jc w:val="center"/>
              <w:rPr>
                <w:rFonts w:ascii="Arial" w:hAnsi="Arial"/>
                <w:sz w:val="18"/>
              </w:rPr>
            </w:pPr>
            <w:r>
              <w:rPr>
                <w:rFonts w:ascii="Arial" w:hAnsi="Arial"/>
                <w:sz w:val="18"/>
              </w:rPr>
              <w:t>“Off”</w:t>
            </w:r>
          </w:p>
        </w:tc>
        <w:tc>
          <w:tcPr>
            <w:tcW w:w="992" w:type="dxa"/>
            <w:vAlign w:val="center"/>
          </w:tcPr>
          <w:p>
            <w:pPr>
              <w:keepNext/>
              <w:keepLines/>
              <w:spacing w:after="0"/>
              <w:jc w:val="center"/>
              <w:rPr>
                <w:rFonts w:ascii="Arial" w:hAnsi="Arial"/>
                <w:sz w:val="18"/>
                <w:lang w:eastAsia="zh-CN"/>
              </w:rPr>
            </w:pPr>
            <w:r>
              <w:rPr>
                <w:rFonts w:ascii="Arial" w:hAnsi="Arial"/>
                <w:sz w:val="18"/>
                <w:lang w:eastAsia="zh-CN"/>
              </w:rPr>
              <w:t>-88</w:t>
            </w:r>
          </w:p>
        </w:tc>
        <w:tc>
          <w:tcPr>
            <w:tcW w:w="311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2" w:type="dxa"/>
            <w:shd w:val="clear" w:color="auto" w:fill="auto"/>
            <w:vAlign w:val="center"/>
          </w:tcPr>
          <w:p>
            <w:pPr>
              <w:keepNext/>
              <w:keepLines/>
              <w:spacing w:after="0"/>
              <w:jc w:val="center"/>
              <w:rPr>
                <w:rFonts w:ascii="Arial" w:hAnsi="Arial"/>
                <w:b/>
                <w:sz w:val="18"/>
                <w:lang w:eastAsia="zh-CN"/>
              </w:rPr>
            </w:pPr>
            <w:r>
              <w:rPr>
                <w:rFonts w:ascii="Arial" w:hAnsi="Arial"/>
                <w:b/>
                <w:sz w:val="18"/>
              </w:rPr>
              <w:t>T</w:t>
            </w:r>
            <w:r>
              <w:rPr>
                <w:rFonts w:ascii="Arial" w:hAnsi="Arial"/>
                <w:b/>
                <w:sz w:val="18"/>
                <w:lang w:eastAsia="zh-CN"/>
              </w:rPr>
              <w:t>3</w:t>
            </w:r>
          </w:p>
        </w:tc>
        <w:tc>
          <w:tcPr>
            <w:tcW w:w="1121"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8"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24"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99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-88</w:t>
            </w:r>
          </w:p>
        </w:tc>
        <w:tc>
          <w:tcPr>
            <w:tcW w:w="992" w:type="dxa"/>
            <w:vAlign w:val="center"/>
          </w:tcPr>
          <w:p>
            <w:pPr>
              <w:keepNext/>
              <w:keepLines/>
              <w:spacing w:after="0"/>
              <w:jc w:val="center"/>
              <w:rPr>
                <w:rFonts w:ascii="Arial" w:hAnsi="Arial"/>
                <w:sz w:val="18"/>
                <w:lang w:eastAsia="zh-CN"/>
              </w:rPr>
            </w:pPr>
            <w:r>
              <w:rPr>
                <w:rFonts w:ascii="Arial" w:hAnsi="Arial"/>
                <w:sz w:val="18"/>
                <w:lang w:eastAsia="zh-CN"/>
              </w:rPr>
              <w:t>-88</w:t>
            </w:r>
          </w:p>
        </w:tc>
        <w:tc>
          <w:tcPr>
            <w:tcW w:w="3119" w:type="dxa"/>
            <w:shd w:val="clear" w:color="auto" w:fill="auto"/>
            <w:vAlign w:val="center"/>
          </w:tcPr>
          <w:p>
            <w:pPr>
              <w:keepNext/>
              <w:keepLines/>
              <w:spacing w:after="0"/>
              <w:jc w:val="center"/>
              <w:rPr>
                <w:rFonts w:ascii="Arial" w:hAnsi="Arial"/>
                <w:sz w:val="18"/>
              </w:rPr>
            </w:pPr>
          </w:p>
        </w:tc>
      </w:tr>
    </w:tbl>
    <w:p/>
    <w:p>
      <w:pPr>
        <w:pStyle w:val="112"/>
        <w:rPr>
          <w:lang w:eastAsia="zh-CN"/>
        </w:rPr>
      </w:pPr>
      <w:r>
        <w:t>Table 6.5.3.2.3.2-</w:t>
      </w:r>
      <w:r>
        <w:rPr>
          <w:lang w:eastAsia="zh-CN"/>
        </w:rPr>
        <w:t>2</w:t>
      </w:r>
      <w:r>
        <w:t>: Time instances of cell power level and parameter changes for FR</w:t>
      </w:r>
      <w:r>
        <w:rPr>
          <w:lang w:eastAsia="zh-CN"/>
        </w:rPr>
        <w:t>2</w:t>
      </w:r>
    </w:p>
    <w:tbl>
      <w:tblPr>
        <w:tblStyle w:val="61"/>
        <w:tblW w:w="8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120"/>
        <w:gridCol w:w="1047"/>
        <w:gridCol w:w="905"/>
        <w:gridCol w:w="877"/>
        <w:gridCol w:w="992"/>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6" w:type="dxa"/>
            <w:shd w:val="clear" w:color="auto" w:fill="auto"/>
          </w:tcPr>
          <w:p>
            <w:pPr>
              <w:keepNext/>
              <w:keepLines/>
              <w:spacing w:after="0"/>
              <w:jc w:val="center"/>
              <w:rPr>
                <w:rFonts w:ascii="Arial" w:hAnsi="Arial"/>
                <w:b/>
                <w:sz w:val="18"/>
              </w:rPr>
            </w:pPr>
            <w:r>
              <w:rPr>
                <w:rFonts w:ascii="Arial" w:hAnsi="Arial"/>
                <w:b/>
                <w:sz w:val="18"/>
              </w:rPr>
              <w:t> </w:t>
            </w:r>
          </w:p>
        </w:tc>
        <w:tc>
          <w:tcPr>
            <w:tcW w:w="1120" w:type="dxa"/>
            <w:shd w:val="clear" w:color="auto" w:fill="auto"/>
          </w:tcPr>
          <w:p>
            <w:pPr>
              <w:keepNext/>
              <w:keepLines/>
              <w:spacing w:after="0"/>
              <w:jc w:val="center"/>
              <w:rPr>
                <w:rFonts w:ascii="Arial" w:hAnsi="Arial"/>
                <w:b/>
                <w:sz w:val="18"/>
              </w:rPr>
            </w:pPr>
            <w:r>
              <w:rPr>
                <w:rFonts w:ascii="Arial" w:hAnsi="Arial"/>
                <w:b/>
                <w:sz w:val="18"/>
              </w:rPr>
              <w:t>Parameter</w:t>
            </w:r>
          </w:p>
        </w:tc>
        <w:tc>
          <w:tcPr>
            <w:tcW w:w="1047" w:type="dxa"/>
            <w:shd w:val="clear" w:color="auto" w:fill="auto"/>
          </w:tcPr>
          <w:p>
            <w:pPr>
              <w:keepNext/>
              <w:keepLines/>
              <w:spacing w:after="0"/>
              <w:jc w:val="center"/>
              <w:rPr>
                <w:rFonts w:ascii="Arial" w:hAnsi="Arial"/>
                <w:b/>
                <w:sz w:val="18"/>
              </w:rPr>
            </w:pPr>
            <w:r>
              <w:rPr>
                <w:rFonts w:ascii="Arial" w:hAnsi="Arial"/>
                <w:b/>
                <w:sz w:val="18"/>
              </w:rPr>
              <w:t>Unit</w:t>
            </w:r>
          </w:p>
        </w:tc>
        <w:tc>
          <w:tcPr>
            <w:tcW w:w="905" w:type="dxa"/>
            <w:shd w:val="clear" w:color="auto" w:fill="auto"/>
          </w:tcPr>
          <w:p>
            <w:pPr>
              <w:keepNext/>
              <w:keepLines/>
              <w:spacing w:after="0"/>
              <w:jc w:val="center"/>
              <w:rPr>
                <w:rFonts w:ascii="Arial" w:hAnsi="Arial"/>
                <w:b/>
                <w:sz w:val="18"/>
              </w:rPr>
            </w:pPr>
            <w:r>
              <w:rPr>
                <w:rFonts w:ascii="Arial" w:hAnsi="Arial"/>
                <w:b/>
                <w:sz w:val="18"/>
              </w:rPr>
              <w:t>NR Cell 1</w:t>
            </w:r>
          </w:p>
        </w:tc>
        <w:tc>
          <w:tcPr>
            <w:tcW w:w="877" w:type="dxa"/>
            <w:shd w:val="clear" w:color="auto" w:fill="auto"/>
          </w:tcPr>
          <w:p>
            <w:pPr>
              <w:keepNext/>
              <w:keepLines/>
              <w:spacing w:after="0"/>
              <w:jc w:val="center"/>
              <w:rPr>
                <w:rFonts w:ascii="Arial" w:hAnsi="Arial"/>
                <w:b/>
                <w:sz w:val="18"/>
              </w:rPr>
            </w:pPr>
            <w:r>
              <w:rPr>
                <w:rFonts w:ascii="Arial" w:hAnsi="Arial"/>
                <w:b/>
                <w:sz w:val="18"/>
              </w:rPr>
              <w:t>NR Cell 2</w:t>
            </w:r>
          </w:p>
        </w:tc>
        <w:tc>
          <w:tcPr>
            <w:tcW w:w="992" w:type="dxa"/>
          </w:tcPr>
          <w:p>
            <w:pPr>
              <w:keepNext/>
              <w:keepLines/>
              <w:spacing w:after="0"/>
              <w:jc w:val="center"/>
              <w:rPr>
                <w:rFonts w:ascii="Arial" w:hAnsi="Arial"/>
                <w:b/>
                <w:sz w:val="18"/>
                <w:lang w:eastAsia="zh-CN"/>
              </w:rPr>
            </w:pPr>
            <w:r>
              <w:rPr>
                <w:rFonts w:ascii="Arial" w:hAnsi="Arial"/>
                <w:b/>
                <w:sz w:val="18"/>
              </w:rPr>
              <w:t xml:space="preserve">NR Cell </w:t>
            </w:r>
            <w:r>
              <w:rPr>
                <w:rFonts w:ascii="Arial" w:hAnsi="Arial"/>
                <w:b/>
                <w:sz w:val="18"/>
                <w:lang w:eastAsia="zh-CN"/>
              </w:rPr>
              <w:t>4</w:t>
            </w:r>
          </w:p>
        </w:tc>
        <w:tc>
          <w:tcPr>
            <w:tcW w:w="3261"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6"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12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7"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05"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877" w:type="dxa"/>
            <w:shd w:val="clear" w:color="auto" w:fill="auto"/>
            <w:vAlign w:val="center"/>
          </w:tcPr>
          <w:p>
            <w:pPr>
              <w:keepNext/>
              <w:keepLines/>
              <w:spacing w:after="0"/>
              <w:jc w:val="center"/>
              <w:rPr>
                <w:rFonts w:ascii="Arial" w:hAnsi="Arial"/>
                <w:sz w:val="18"/>
              </w:rPr>
            </w:pPr>
            <w:r>
              <w:rPr>
                <w:rFonts w:ascii="Arial" w:hAnsi="Arial"/>
                <w:sz w:val="18"/>
              </w:rPr>
              <w:t>“Off”</w:t>
            </w:r>
          </w:p>
        </w:tc>
        <w:tc>
          <w:tcPr>
            <w:tcW w:w="992" w:type="dxa"/>
            <w:vAlign w:val="center"/>
          </w:tcPr>
          <w:p>
            <w:pPr>
              <w:keepNext/>
              <w:keepLines/>
              <w:spacing w:after="0"/>
              <w:jc w:val="center"/>
              <w:rPr>
                <w:rFonts w:ascii="Arial" w:hAnsi="Arial"/>
                <w:sz w:val="18"/>
              </w:rPr>
            </w:pPr>
            <w:r>
              <w:rPr>
                <w:rFonts w:ascii="Arial" w:hAnsi="Arial"/>
                <w:sz w:val="18"/>
              </w:rPr>
              <w:t>“Off”</w:t>
            </w:r>
          </w:p>
        </w:tc>
        <w:tc>
          <w:tcPr>
            <w:tcW w:w="3261"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26"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12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7"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05"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877" w:type="dxa"/>
            <w:shd w:val="clear" w:color="auto" w:fill="auto"/>
            <w:vAlign w:val="center"/>
          </w:tcPr>
          <w:p>
            <w:pPr>
              <w:keepNext/>
              <w:keepLines/>
              <w:spacing w:after="0"/>
              <w:jc w:val="center"/>
              <w:rPr>
                <w:rFonts w:ascii="Arial" w:hAnsi="Arial"/>
                <w:sz w:val="18"/>
                <w:lang w:eastAsia="zh-CN"/>
              </w:rPr>
            </w:pPr>
            <w:r>
              <w:rPr>
                <w:rFonts w:ascii="Arial" w:hAnsi="Arial"/>
                <w:sz w:val="18"/>
              </w:rPr>
              <w:t>“Off”</w:t>
            </w:r>
          </w:p>
        </w:tc>
        <w:tc>
          <w:tcPr>
            <w:tcW w:w="992" w:type="dxa"/>
            <w:vAlign w:val="center"/>
          </w:tcPr>
          <w:p>
            <w:pPr>
              <w:keepNext/>
              <w:keepLines/>
              <w:spacing w:after="0"/>
              <w:jc w:val="center"/>
              <w:rPr>
                <w:rFonts w:ascii="Arial" w:hAnsi="Arial"/>
                <w:sz w:val="18"/>
                <w:lang w:eastAsia="zh-CN"/>
              </w:rPr>
            </w:pPr>
            <w:r>
              <w:rPr>
                <w:rFonts w:ascii="Arial" w:hAnsi="Arial"/>
                <w:sz w:val="18"/>
                <w:lang w:eastAsia="zh-CN"/>
              </w:rPr>
              <w:t>-91</w:t>
            </w:r>
          </w:p>
        </w:tc>
        <w:tc>
          <w:tcPr>
            <w:tcW w:w="3261"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26" w:type="dxa"/>
            <w:shd w:val="clear" w:color="auto" w:fill="auto"/>
            <w:vAlign w:val="center"/>
          </w:tcPr>
          <w:p>
            <w:pPr>
              <w:keepNext/>
              <w:keepLines/>
              <w:spacing w:after="0"/>
              <w:jc w:val="center"/>
              <w:rPr>
                <w:rFonts w:ascii="Arial" w:hAnsi="Arial"/>
                <w:b/>
                <w:sz w:val="18"/>
                <w:lang w:eastAsia="zh-CN"/>
              </w:rPr>
            </w:pPr>
            <w:r>
              <w:rPr>
                <w:rFonts w:ascii="Arial" w:hAnsi="Arial"/>
                <w:b/>
                <w:sz w:val="18"/>
              </w:rPr>
              <w:t>T</w:t>
            </w:r>
            <w:r>
              <w:rPr>
                <w:rFonts w:ascii="Arial" w:hAnsi="Arial"/>
                <w:b/>
                <w:sz w:val="18"/>
                <w:lang w:eastAsia="zh-CN"/>
              </w:rPr>
              <w:t>3</w:t>
            </w:r>
          </w:p>
        </w:tc>
        <w:tc>
          <w:tcPr>
            <w:tcW w:w="112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47"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905"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877"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-91</w:t>
            </w:r>
          </w:p>
        </w:tc>
        <w:tc>
          <w:tcPr>
            <w:tcW w:w="992" w:type="dxa"/>
            <w:vAlign w:val="center"/>
          </w:tcPr>
          <w:p>
            <w:pPr>
              <w:keepNext/>
              <w:keepLines/>
              <w:spacing w:after="0"/>
              <w:jc w:val="center"/>
              <w:rPr>
                <w:rFonts w:ascii="Arial" w:hAnsi="Arial"/>
                <w:sz w:val="18"/>
              </w:rPr>
            </w:pPr>
            <w:r>
              <w:rPr>
                <w:rFonts w:ascii="Arial" w:hAnsi="Arial"/>
                <w:sz w:val="18"/>
                <w:lang w:eastAsia="zh-CN"/>
              </w:rPr>
              <w:t>-91</w:t>
            </w:r>
          </w:p>
        </w:tc>
        <w:tc>
          <w:tcPr>
            <w:tcW w:w="3261" w:type="dxa"/>
            <w:shd w:val="clear" w:color="auto" w:fill="auto"/>
            <w:vAlign w:val="center"/>
          </w:tcPr>
          <w:p>
            <w:pPr>
              <w:keepNext/>
              <w:keepLines/>
              <w:spacing w:after="0"/>
              <w:jc w:val="center"/>
              <w:rPr>
                <w:rFonts w:ascii="Arial" w:hAnsi="Arial"/>
                <w:sz w:val="18"/>
              </w:rPr>
            </w:pPr>
          </w:p>
        </w:tc>
      </w:tr>
    </w:tbl>
    <w:p/>
    <w:p>
      <w:pPr>
        <w:pStyle w:val="112"/>
      </w:pPr>
      <w:r>
        <w:t>Table 6.5.3.2.3.2-3: Main behaviour</w:t>
      </w:r>
    </w:p>
    <w:tbl>
      <w:tblPr>
        <w:tblStyle w:val="61"/>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tcBorders>
            <w:shd w:val="clear" w:color="auto" w:fill="auto"/>
          </w:tcPr>
          <w:p>
            <w:pPr>
              <w:keepNext/>
              <w:keepLines/>
              <w:spacing w:after="0"/>
              <w:jc w:val="center"/>
              <w:rPr>
                <w:rFonts w:ascii="Arial" w:hAnsi="Arial"/>
                <w:b/>
                <w:sz w:val="18"/>
              </w:rPr>
            </w:pPr>
            <w:r>
              <w:rPr>
                <w:rFonts w:ascii="Arial" w:hAnsi="Arial"/>
                <w:b/>
                <w:sz w:val="18"/>
              </w:rPr>
              <w:t>St</w:t>
            </w:r>
          </w:p>
        </w:tc>
        <w:tc>
          <w:tcPr>
            <w:tcW w:w="3968" w:type="dxa"/>
            <w:shd w:val="clear" w:color="auto" w:fill="auto"/>
          </w:tcPr>
          <w:p>
            <w:pPr>
              <w:keepNext/>
              <w:keepLines/>
              <w:spacing w:after="0"/>
              <w:jc w:val="center"/>
              <w:rPr>
                <w:rFonts w:ascii="Arial" w:hAnsi="Arial"/>
                <w:b/>
                <w:sz w:val="18"/>
              </w:rPr>
            </w:pPr>
            <w:r>
              <w:rPr>
                <w:rFonts w:ascii="Arial" w:hAnsi="Arial"/>
                <w:b/>
                <w:sz w:val="18"/>
              </w:rPr>
              <w:t>Procedure</w:t>
            </w:r>
          </w:p>
        </w:tc>
        <w:tc>
          <w:tcPr>
            <w:tcW w:w="3684" w:type="dxa"/>
            <w:gridSpan w:val="2"/>
            <w:shd w:val="clear" w:color="auto" w:fill="auto"/>
          </w:tcPr>
          <w:p>
            <w:pPr>
              <w:keepNext/>
              <w:keepLines/>
              <w:spacing w:after="0"/>
              <w:jc w:val="center"/>
              <w:rPr>
                <w:rFonts w:ascii="Arial" w:hAnsi="Arial"/>
                <w:b/>
                <w:sz w:val="18"/>
              </w:rPr>
            </w:pPr>
            <w:r>
              <w:rPr>
                <w:rFonts w:ascii="Arial" w:hAnsi="Arial"/>
                <w:b/>
                <w:sz w:val="18"/>
              </w:rPr>
              <w:t>Message Sequence</w:t>
            </w:r>
          </w:p>
        </w:tc>
        <w:tc>
          <w:tcPr>
            <w:tcW w:w="567" w:type="dxa"/>
            <w:tcBorders>
              <w:bottom w:val="nil"/>
            </w:tcBorders>
            <w:shd w:val="clear" w:color="auto" w:fill="auto"/>
          </w:tcPr>
          <w:p>
            <w:pPr>
              <w:keepNext/>
              <w:keepLines/>
              <w:spacing w:after="0"/>
              <w:jc w:val="center"/>
              <w:rPr>
                <w:rFonts w:ascii="Arial" w:hAnsi="Arial"/>
                <w:b/>
                <w:sz w:val="18"/>
              </w:rPr>
            </w:pPr>
            <w:r>
              <w:rPr>
                <w:rFonts w:ascii="Arial" w:hAnsi="Arial"/>
                <w:b/>
                <w:sz w:val="18"/>
              </w:rPr>
              <w:t>TP</w:t>
            </w:r>
          </w:p>
        </w:tc>
        <w:tc>
          <w:tcPr>
            <w:tcW w:w="850" w:type="dxa"/>
            <w:tcBorders>
              <w:bottom w:val="nil"/>
            </w:tcBorders>
            <w:shd w:val="clear" w:color="auto" w:fill="auto"/>
          </w:tcPr>
          <w:p>
            <w:pPr>
              <w:keepNext/>
              <w:keepLines/>
              <w:spacing w:after="0"/>
              <w:jc w:val="center"/>
              <w:rPr>
                <w:rFonts w:ascii="Arial" w:hAnsi="Arial"/>
                <w:b/>
                <w:sz w:val="18"/>
              </w:rPr>
            </w:pPr>
            <w:r>
              <w:rPr>
                <w:rFonts w:ascii="Arial" w:hAnsi="Arial"/>
                <w:b/>
                <w:sz w:val="18"/>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keepNext/>
              <w:keepLines/>
              <w:spacing w:after="0"/>
              <w:jc w:val="center"/>
              <w:rPr>
                <w:rFonts w:ascii="Arial" w:hAnsi="Arial"/>
                <w:b/>
                <w:sz w:val="18"/>
              </w:rPr>
            </w:pPr>
          </w:p>
        </w:tc>
        <w:tc>
          <w:tcPr>
            <w:tcW w:w="3968" w:type="dxa"/>
            <w:shd w:val="clear" w:color="auto" w:fill="auto"/>
          </w:tcPr>
          <w:p>
            <w:pPr>
              <w:keepNext/>
              <w:keepLines/>
              <w:spacing w:after="0"/>
              <w:jc w:val="center"/>
              <w:rPr>
                <w:rFonts w:ascii="Arial" w:hAnsi="Arial"/>
                <w:b/>
                <w:sz w:val="18"/>
              </w:rPr>
            </w:pPr>
          </w:p>
        </w:tc>
        <w:tc>
          <w:tcPr>
            <w:tcW w:w="708" w:type="dxa"/>
            <w:shd w:val="clear" w:color="auto" w:fill="auto"/>
          </w:tcPr>
          <w:p>
            <w:pPr>
              <w:keepNext/>
              <w:keepLines/>
              <w:spacing w:after="0"/>
              <w:jc w:val="center"/>
              <w:rPr>
                <w:rFonts w:ascii="Arial" w:hAnsi="Arial"/>
                <w:b/>
                <w:sz w:val="18"/>
              </w:rPr>
            </w:pPr>
            <w:r>
              <w:rPr>
                <w:rFonts w:ascii="Arial" w:hAnsi="Arial"/>
                <w:b/>
                <w:sz w:val="18"/>
              </w:rPr>
              <w:t>U - S</w:t>
            </w:r>
          </w:p>
        </w:tc>
        <w:tc>
          <w:tcPr>
            <w:tcW w:w="2976" w:type="dxa"/>
            <w:shd w:val="clear" w:color="auto" w:fill="auto"/>
          </w:tcPr>
          <w:p>
            <w:pPr>
              <w:keepNext/>
              <w:keepLines/>
              <w:spacing w:after="0"/>
              <w:jc w:val="center"/>
              <w:rPr>
                <w:rFonts w:ascii="Arial" w:hAnsi="Arial"/>
                <w:b/>
                <w:sz w:val="18"/>
              </w:rPr>
            </w:pPr>
            <w:r>
              <w:rPr>
                <w:rFonts w:ascii="Arial" w:hAnsi="Arial"/>
                <w:b/>
                <w:sz w:val="18"/>
              </w:rPr>
              <w:t>Message</w:t>
            </w:r>
          </w:p>
        </w:tc>
        <w:tc>
          <w:tcPr>
            <w:tcW w:w="567" w:type="dxa"/>
            <w:tcBorders>
              <w:top w:val="nil"/>
            </w:tcBorders>
            <w:shd w:val="clear" w:color="auto" w:fill="auto"/>
          </w:tcPr>
          <w:p>
            <w:pPr>
              <w:keepNext/>
              <w:keepLines/>
              <w:spacing w:after="0"/>
              <w:jc w:val="center"/>
              <w:rPr>
                <w:rFonts w:ascii="Arial" w:hAnsi="Arial"/>
                <w:b/>
                <w:sz w:val="18"/>
              </w:rPr>
            </w:pPr>
          </w:p>
        </w:tc>
        <w:tc>
          <w:tcPr>
            <w:tcW w:w="850" w:type="dxa"/>
            <w:tcBorders>
              <w:top w:val="nil"/>
            </w:tcBorders>
            <w:shd w:val="clear" w:color="auto" w:fill="auto"/>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96"/>
              <w:jc w:val="center"/>
            </w:pPr>
            <w:r>
              <w:t>1</w:t>
            </w:r>
          </w:p>
        </w:tc>
        <w:tc>
          <w:tcPr>
            <w:tcW w:w="3968" w:type="dxa"/>
            <w:shd w:val="clear" w:color="auto" w:fill="auto"/>
          </w:tcPr>
          <w:p>
            <w:pPr>
              <w:pStyle w:val="96"/>
            </w:pPr>
            <w:r>
              <w:t>SS adjusts cell levels according to row T</w:t>
            </w:r>
            <w:r>
              <w:rPr>
                <w:lang w:eastAsia="zh-CN"/>
              </w:rPr>
              <w:t xml:space="preserve">1 </w:t>
            </w:r>
            <w:r>
              <w:t>of table 6.5.3.2.3.2-1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tcBorders>
              <w:top w:val="nil"/>
            </w:tcBorders>
            <w:shd w:val="clear" w:color="auto" w:fill="auto"/>
          </w:tcPr>
          <w:p>
            <w:pPr>
              <w:pStyle w:val="96"/>
              <w:jc w:val="center"/>
            </w:pPr>
            <w:r>
              <w:t>-</w:t>
            </w:r>
          </w:p>
        </w:tc>
        <w:tc>
          <w:tcPr>
            <w:tcW w:w="850" w:type="dxa"/>
            <w:tcBorders>
              <w:top w:val="nil"/>
            </w:tcBorders>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2</w:t>
            </w:r>
          </w:p>
        </w:tc>
        <w:tc>
          <w:tcPr>
            <w:tcW w:w="3968" w:type="dxa"/>
            <w:shd w:val="clear" w:color="auto" w:fill="auto"/>
          </w:tcPr>
          <w:p>
            <w:pPr>
              <w:pStyle w:val="96"/>
            </w:pPr>
            <w:r>
              <w:t xml:space="preserve">The UE is Switched ON. </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3</w:t>
            </w:r>
          </w:p>
        </w:tc>
        <w:tc>
          <w:tcPr>
            <w:tcW w:w="3968" w:type="dxa"/>
            <w:shd w:val="clear" w:color="auto" w:fill="auto"/>
          </w:tcPr>
          <w:p>
            <w:pPr>
              <w:pStyle w:val="96"/>
            </w:pPr>
            <w:r>
              <w:t xml:space="preserve"> Manual selection of SNPN identified by NR Cell 1 is performed (NOTE 1).</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4</w:t>
            </w:r>
          </w:p>
        </w:tc>
        <w:tc>
          <w:tcPr>
            <w:tcW w:w="3968" w:type="dxa"/>
            <w:shd w:val="clear" w:color="auto" w:fill="auto"/>
          </w:tcPr>
          <w:p>
            <w:pPr>
              <w:pStyle w:val="96"/>
            </w:pPr>
            <w:r>
              <w:t xml:space="preserve">Check: Does the UE transmit an </w:t>
            </w:r>
            <w:r>
              <w:rPr>
                <w:i/>
              </w:rPr>
              <w:t>RRCSetupRequest</w:t>
            </w:r>
            <w:r>
              <w:t xml:space="preserve"> on NR Cell 1 within the next 60s?</w:t>
            </w:r>
          </w:p>
        </w:tc>
        <w:tc>
          <w:tcPr>
            <w:tcW w:w="708" w:type="dxa"/>
            <w:shd w:val="clear" w:color="auto" w:fill="auto"/>
          </w:tcPr>
          <w:p>
            <w:pPr>
              <w:pStyle w:val="96"/>
              <w:jc w:val="center"/>
            </w:pPr>
            <w:r>
              <w:t>--&gt;</w:t>
            </w:r>
          </w:p>
        </w:tc>
        <w:tc>
          <w:tcPr>
            <w:tcW w:w="2976" w:type="dxa"/>
            <w:shd w:val="clear" w:color="auto" w:fill="auto"/>
          </w:tcPr>
          <w:p>
            <w:pPr>
              <w:pStyle w:val="96"/>
            </w:pPr>
            <w:r>
              <w:rPr>
                <w:i/>
              </w:rPr>
              <w:t>NR RRC: RRCSetupRequest</w:t>
            </w:r>
          </w:p>
        </w:tc>
        <w:tc>
          <w:tcPr>
            <w:tcW w:w="567" w:type="dxa"/>
            <w:shd w:val="clear" w:color="auto" w:fill="auto"/>
          </w:tcPr>
          <w:p>
            <w:pPr>
              <w:pStyle w:val="96"/>
              <w:jc w:val="center"/>
            </w:pPr>
            <w:r>
              <w:t>1</w:t>
            </w:r>
          </w:p>
        </w:tc>
        <w:tc>
          <w:tcPr>
            <w:tcW w:w="850" w:type="dxa"/>
            <w:shd w:val="clear" w:color="auto" w:fill="auto"/>
          </w:tcPr>
          <w:p>
            <w:pPr>
              <w:pStyle w:val="96"/>
              <w:jc w:val="cente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5</w:t>
            </w:r>
          </w:p>
        </w:tc>
        <w:tc>
          <w:tcPr>
            <w:tcW w:w="3968" w:type="dxa"/>
            <w:shd w:val="clear" w:color="auto" w:fill="auto"/>
          </w:tcPr>
          <w:p>
            <w:pPr>
              <w:pStyle w:val="96"/>
            </w:pPr>
            <w:r>
              <w:t>SS adjusts cell levels according to row T2</w:t>
            </w:r>
            <w:r>
              <w:rPr>
                <w:lang w:eastAsia="zh-CN"/>
              </w:rPr>
              <w:t xml:space="preserve"> </w:t>
            </w:r>
            <w:r>
              <w:t>of table 6.5.3.2.3.2-1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6</w:t>
            </w:r>
          </w:p>
        </w:tc>
        <w:tc>
          <w:tcPr>
            <w:tcW w:w="3968" w:type="dxa"/>
            <w:shd w:val="clear" w:color="auto" w:fill="auto"/>
          </w:tcPr>
          <w:p>
            <w:pPr>
              <w:pStyle w:val="96"/>
            </w:pPr>
            <w:r>
              <w:t>Manual selection of SNPN identified by NR Cell 4 is performed (NOTE 1).</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7</w:t>
            </w:r>
          </w:p>
        </w:tc>
        <w:tc>
          <w:tcPr>
            <w:tcW w:w="3968" w:type="dxa"/>
            <w:shd w:val="clear" w:color="auto" w:fill="auto"/>
          </w:tcPr>
          <w:p>
            <w:pPr>
              <w:pStyle w:val="96"/>
            </w:pPr>
            <w:r>
              <w:t xml:space="preserve">Check: Does the UE send a </w:t>
            </w:r>
            <w:r>
              <w:rPr>
                <w:i/>
              </w:rPr>
              <w:t>RRCSetupRequest</w:t>
            </w:r>
            <w:r>
              <w:t xml:space="preserve"> on NR Cell 4?</w:t>
            </w:r>
          </w:p>
        </w:tc>
        <w:tc>
          <w:tcPr>
            <w:tcW w:w="708" w:type="dxa"/>
            <w:shd w:val="clear" w:color="auto" w:fill="auto"/>
          </w:tcPr>
          <w:p>
            <w:pPr>
              <w:pStyle w:val="96"/>
              <w:jc w:val="center"/>
            </w:pPr>
            <w:r>
              <w:t>--&gt;</w:t>
            </w:r>
          </w:p>
        </w:tc>
        <w:tc>
          <w:tcPr>
            <w:tcW w:w="2976" w:type="dxa"/>
            <w:shd w:val="clear" w:color="auto" w:fill="auto"/>
          </w:tcPr>
          <w:p>
            <w:pPr>
              <w:pStyle w:val="96"/>
            </w:pPr>
            <w:r>
              <w:rPr>
                <w:i/>
              </w:rPr>
              <w:t>NR RRC: RRCSetupRequest</w:t>
            </w:r>
          </w:p>
        </w:tc>
        <w:tc>
          <w:tcPr>
            <w:tcW w:w="567" w:type="dxa"/>
            <w:shd w:val="clear" w:color="auto" w:fill="auto"/>
          </w:tcPr>
          <w:p>
            <w:pPr>
              <w:pStyle w:val="96"/>
              <w:jc w:val="center"/>
            </w:pPr>
            <w:r>
              <w:t>2</w:t>
            </w:r>
          </w:p>
        </w:tc>
        <w:tc>
          <w:tcPr>
            <w:tcW w:w="850" w:type="dxa"/>
            <w:shd w:val="clear" w:color="auto" w:fill="auto"/>
          </w:tcPr>
          <w:p>
            <w:pPr>
              <w:pStyle w:val="96"/>
              <w:jc w:val="cente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rPr>
                <w:lang w:eastAsia="zh-CN"/>
              </w:rPr>
              <w:t>8</w:t>
            </w:r>
          </w:p>
        </w:tc>
        <w:tc>
          <w:tcPr>
            <w:tcW w:w="3968" w:type="dxa"/>
            <w:shd w:val="clear" w:color="auto" w:fill="auto"/>
          </w:tcPr>
          <w:p>
            <w:pPr>
              <w:pStyle w:val="96"/>
            </w:pPr>
            <w:r>
              <w:t>SS adjusts cell levels according to row T</w:t>
            </w:r>
            <w:r>
              <w:rPr>
                <w:lang w:eastAsia="zh-CN"/>
              </w:rPr>
              <w:t xml:space="preserve">3 </w:t>
            </w:r>
            <w:r>
              <w:t>of table 6.5.3.2.3.2-1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rPr>
                <w:i/>
              </w:rPr>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rPr>
                <w:lang w:eastAsia="zh-CN"/>
              </w:rPr>
              <w:t>9</w:t>
            </w:r>
          </w:p>
        </w:tc>
        <w:tc>
          <w:tcPr>
            <w:tcW w:w="3968" w:type="dxa"/>
            <w:shd w:val="clear" w:color="auto" w:fill="auto"/>
          </w:tcPr>
          <w:p>
            <w:pPr>
              <w:pStyle w:val="96"/>
            </w:pPr>
            <w:r>
              <w:t xml:space="preserve">Manual selection of SNPN identified by NR Cell </w:t>
            </w:r>
            <w:r>
              <w:rPr>
                <w:lang w:eastAsia="zh-CN"/>
              </w:rPr>
              <w:t>2</w:t>
            </w:r>
            <w:r>
              <w:t xml:space="preserve"> is performed (NOTE 1).</w:t>
            </w:r>
          </w:p>
        </w:tc>
        <w:tc>
          <w:tcPr>
            <w:tcW w:w="708" w:type="dxa"/>
            <w:shd w:val="clear" w:color="auto" w:fill="auto"/>
          </w:tcPr>
          <w:p>
            <w:pPr>
              <w:pStyle w:val="96"/>
              <w:jc w:val="center"/>
            </w:pPr>
            <w:r>
              <w:t>-</w:t>
            </w:r>
          </w:p>
        </w:tc>
        <w:tc>
          <w:tcPr>
            <w:tcW w:w="2976" w:type="dxa"/>
            <w:shd w:val="clear" w:color="auto" w:fill="auto"/>
          </w:tcPr>
          <w:p>
            <w:pPr>
              <w:pStyle w:val="96"/>
              <w:rPr>
                <w:i/>
              </w:rPr>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rPr>
                <w:lang w:eastAsia="zh-CN"/>
              </w:rPr>
              <w:t>10</w:t>
            </w:r>
          </w:p>
        </w:tc>
        <w:tc>
          <w:tcPr>
            <w:tcW w:w="3968" w:type="dxa"/>
            <w:shd w:val="clear" w:color="auto" w:fill="auto"/>
          </w:tcPr>
          <w:p>
            <w:pPr>
              <w:pStyle w:val="96"/>
            </w:pPr>
            <w:r>
              <w:t xml:space="preserve">Check: Does the UE send a </w:t>
            </w:r>
            <w:r>
              <w:rPr>
                <w:i/>
              </w:rPr>
              <w:t>RRCSetupRequest</w:t>
            </w:r>
            <w:r>
              <w:t xml:space="preserve"> on NR Cell </w:t>
            </w:r>
            <w:r>
              <w:rPr>
                <w:lang w:eastAsia="zh-CN"/>
              </w:rPr>
              <w:t>2</w:t>
            </w:r>
            <w:r>
              <w:t>?</w:t>
            </w:r>
          </w:p>
        </w:tc>
        <w:tc>
          <w:tcPr>
            <w:tcW w:w="708" w:type="dxa"/>
            <w:shd w:val="clear" w:color="auto" w:fill="auto"/>
          </w:tcPr>
          <w:p>
            <w:pPr>
              <w:pStyle w:val="96"/>
              <w:jc w:val="center"/>
            </w:pPr>
            <w:r>
              <w:t>--&gt;</w:t>
            </w:r>
          </w:p>
        </w:tc>
        <w:tc>
          <w:tcPr>
            <w:tcW w:w="2976" w:type="dxa"/>
            <w:shd w:val="clear" w:color="auto" w:fill="auto"/>
          </w:tcPr>
          <w:p>
            <w:pPr>
              <w:pStyle w:val="96"/>
              <w:rPr>
                <w:i/>
              </w:rPr>
            </w:pPr>
            <w:r>
              <w:rPr>
                <w:i/>
              </w:rPr>
              <w:t>NR RRC: RRCSetupRequest</w:t>
            </w:r>
          </w:p>
        </w:tc>
        <w:tc>
          <w:tcPr>
            <w:tcW w:w="567" w:type="dxa"/>
            <w:shd w:val="clear" w:color="auto" w:fill="auto"/>
          </w:tcPr>
          <w:p>
            <w:pPr>
              <w:pStyle w:val="96"/>
              <w:jc w:val="center"/>
            </w:pPr>
            <w:r>
              <w:rPr>
                <w:lang w:eastAsia="zh-CN"/>
              </w:rPr>
              <w:t>3</w:t>
            </w:r>
          </w:p>
        </w:tc>
        <w:tc>
          <w:tcPr>
            <w:tcW w:w="850" w:type="dxa"/>
            <w:shd w:val="clear" w:color="auto" w:fill="auto"/>
          </w:tcPr>
          <w:p>
            <w:pPr>
              <w:pStyle w:val="96"/>
              <w:jc w:val="cente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rFonts w:hint="default" w:eastAsia="宋体"/>
                <w:lang w:val="en-US" w:eastAsia="zh-CN"/>
              </w:rPr>
            </w:pPr>
            <w:r>
              <w:t>11-28</w:t>
            </w:r>
            <w:ins w:id="13" w:author="Xu Jiali, ZTE" w:date="2024-10-29T09:57:46Z">
              <w:r>
                <w:rPr>
                  <w:rFonts w:hint="eastAsia" w:eastAsia="宋体"/>
                  <w:lang w:val="en-US" w:eastAsia="zh-CN"/>
                </w:rPr>
                <w:t>a1</w:t>
              </w:r>
            </w:ins>
          </w:p>
        </w:tc>
        <w:tc>
          <w:tcPr>
            <w:tcW w:w="3968" w:type="dxa"/>
            <w:shd w:val="clear" w:color="auto" w:fill="auto"/>
          </w:tcPr>
          <w:p>
            <w:pPr>
              <w:keepNext/>
              <w:keepLines/>
              <w:spacing w:after="0"/>
              <w:rPr>
                <w:rFonts w:ascii="Arial" w:hAnsi="Arial"/>
                <w:sz w:val="18"/>
              </w:rPr>
            </w:pPr>
            <w:r>
              <w:rPr>
                <w:rFonts w:ascii="Arial" w:hAnsi="Arial"/>
                <w:sz w:val="18"/>
              </w:rPr>
              <w:t xml:space="preserve">Steps 3 to 20a1 </w:t>
            </w:r>
            <w:r>
              <w:rPr>
                <w:rFonts w:ascii="Arial" w:hAnsi="Arial" w:cs="Arial"/>
                <w:sz w:val="18"/>
                <w:szCs w:val="18"/>
              </w:rPr>
              <w:t>of Table 4.5.2.2-2 of the generic procedure in</w:t>
            </w:r>
            <w:r>
              <w:rPr>
                <w:rFonts w:ascii="Arial" w:hAnsi="Arial"/>
                <w:sz w:val="18"/>
              </w:rPr>
              <w:t xml:space="preserve"> TS 38.508-1</w:t>
            </w:r>
            <w:ins w:id="14" w:author="Xu Jiali, ZTE" w:date="2024-10-29T09:57:50Z">
              <w:r>
                <w:rPr>
                  <w:rFonts w:hint="eastAsia" w:ascii="Arial" w:hAnsi="Arial" w:eastAsia="宋体"/>
                  <w:sz w:val="18"/>
                  <w:lang w:val="en-US" w:eastAsia="zh-CN"/>
                </w:rPr>
                <w:t xml:space="preserve"> [</w:t>
              </w:r>
            </w:ins>
            <w:ins w:id="15" w:author="Xu Jiali, ZTE" w:date="2024-10-29T09:57:51Z">
              <w:r>
                <w:rPr>
                  <w:rFonts w:hint="eastAsia" w:ascii="Arial" w:hAnsi="Arial" w:eastAsia="宋体"/>
                  <w:sz w:val="18"/>
                  <w:lang w:val="en-US" w:eastAsia="zh-CN"/>
                </w:rPr>
                <w:t>4</w:t>
              </w:r>
            </w:ins>
            <w:ins w:id="16" w:author="Xu Jiali, ZTE" w:date="2024-10-29T09:57:50Z">
              <w:r>
                <w:rPr>
                  <w:rFonts w:hint="eastAsia" w:ascii="Arial" w:hAnsi="Arial" w:eastAsia="宋体"/>
                  <w:sz w:val="18"/>
                  <w:lang w:val="en-US" w:eastAsia="zh-CN"/>
                </w:rPr>
                <w:t>]</w:t>
              </w:r>
            </w:ins>
            <w:r>
              <w:rPr>
                <w:rFonts w:ascii="Arial" w:hAnsi="Arial"/>
                <w:sz w:val="18"/>
              </w:rPr>
              <w:t xml:space="preserve"> are performed on NR Cell 2.</w:t>
            </w:r>
          </w:p>
          <w:p>
            <w:pPr>
              <w:keepNext/>
              <w:keepLines/>
              <w:spacing w:after="0"/>
            </w:pPr>
            <w:r>
              <w:rPr>
                <w:rFonts w:ascii="Arial" w:hAnsi="Arial"/>
                <w:sz w:val="18"/>
              </w:rPr>
              <w:t>NOTE: The UE performs registration and the RRC connection is released.</w:t>
            </w:r>
          </w:p>
        </w:tc>
        <w:tc>
          <w:tcPr>
            <w:tcW w:w="708" w:type="dxa"/>
            <w:shd w:val="clear" w:color="auto" w:fill="auto"/>
          </w:tcPr>
          <w:p>
            <w:pPr>
              <w:pStyle w:val="96"/>
              <w:jc w:val="center"/>
            </w:pPr>
            <w:r>
              <w:t>-</w:t>
            </w:r>
          </w:p>
        </w:tc>
        <w:tc>
          <w:tcPr>
            <w:tcW w:w="2976" w:type="dxa"/>
            <w:shd w:val="clear" w:color="auto" w:fill="auto"/>
          </w:tcPr>
          <w:p>
            <w:pPr>
              <w:pStyle w:val="96"/>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96"/>
            </w:pPr>
            <w:r>
              <w:t>NOTE 1: This is performed via MMI or AT command.</w:t>
            </w:r>
          </w:p>
        </w:tc>
      </w:tr>
    </w:tbl>
    <w:p>
      <w:pPr>
        <w:rPr>
          <w:snapToGrid w:val="0"/>
        </w:rPr>
      </w:pPr>
    </w:p>
    <w:p>
      <w:pPr>
        <w:pStyle w:val="8"/>
      </w:pPr>
      <w:r>
        <w:t>6.5.3.2.3.3</w:t>
      </w:r>
      <w:r>
        <w:tab/>
      </w:r>
      <w:r>
        <w:t>Specific message contents</w:t>
      </w:r>
    </w:p>
    <w:p>
      <w:pPr>
        <w:pStyle w:val="112"/>
      </w:pPr>
      <w:r>
        <w:t>Table 6.5.3.2.3.3-1: REGISTRATION REQUEST (step 12, Table 6.5.3.2.3.2-3)</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tcPr>
          <w:p>
            <w:pPr>
              <w:pStyle w:val="96"/>
            </w:pPr>
            <w:r>
              <w:t>Derivation path: TS 38.508-1 [4], Table 4.7.1-6 with condition SNPN_ONBOARDING</w:t>
            </w:r>
          </w:p>
        </w:tc>
      </w:tr>
    </w:tbl>
    <w:p/>
    <w:p>
      <w:pPr>
        <w:pStyle w:val="112"/>
      </w:pPr>
      <w:r>
        <w:t xml:space="preserve">Table </w:t>
      </w:r>
      <w:r>
        <w:rPr>
          <w:snapToGrid w:val="0"/>
        </w:rPr>
        <w:t>6.5.3.2.3.3</w:t>
      </w:r>
      <w:r>
        <w:t>-2: SIB1 for NR Cell 1 (all steps and preamble, Table 6.5.3.2.3.2-3)</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gridSpan w:val="4"/>
            <w:shd w:val="clear" w:color="auto" w:fill="auto"/>
          </w:tcPr>
          <w:p>
            <w:pPr>
              <w:pStyle w:val="98"/>
              <w:jc w:val="left"/>
              <w:rPr>
                <w:b w:val="0"/>
              </w:rPr>
            </w:pPr>
            <w:r>
              <w:rPr>
                <w:b w:val="0"/>
              </w:rPr>
              <w:t>Derivation path: TS 38.508-1 [4], Table 4.6.1-28 with condition SNPN and 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jc w:val="left"/>
              <w:rPr>
                <w:b w:val="0"/>
              </w:rPr>
            </w:pPr>
            <w:r>
              <w:rPr>
                <w:b w:val="0"/>
              </w:rPr>
              <w:t>SIB1 ::= SEQUENCE {</w:t>
            </w:r>
          </w:p>
        </w:tc>
        <w:tc>
          <w:tcPr>
            <w:tcW w:w="2267" w:type="dxa"/>
            <w:tcBorders>
              <w:bottom w:val="single" w:color="auto" w:sz="4" w:space="0"/>
            </w:tcBorders>
            <w:shd w:val="clear" w:color="auto" w:fill="auto"/>
          </w:tcPr>
          <w:p>
            <w:pPr>
              <w:pStyle w:val="98"/>
              <w:jc w:val="left"/>
              <w:rPr>
                <w:b w:val="0"/>
              </w:rPr>
            </w:pPr>
          </w:p>
        </w:tc>
        <w:tc>
          <w:tcPr>
            <w:tcW w:w="1700" w:type="dxa"/>
            <w:tcBorders>
              <w:bottom w:val="single" w:color="auto" w:sz="4" w:space="0"/>
            </w:tcBorders>
            <w:shd w:val="clear" w:color="auto" w:fill="auto"/>
          </w:tcPr>
          <w:p>
            <w:pPr>
              <w:pStyle w:val="98"/>
              <w:jc w:val="left"/>
              <w:rPr>
                <w:b w:val="0"/>
              </w:rPr>
            </w:pPr>
          </w:p>
        </w:tc>
        <w:tc>
          <w:tcPr>
            <w:tcW w:w="1135" w:type="dxa"/>
            <w:tcBorders>
              <w:bottom w:val="single" w:color="auto" w:sz="4" w:space="0"/>
            </w:tcBorders>
            <w:shd w:val="clear" w:color="auto" w:fill="auto"/>
          </w:tcPr>
          <w:p>
            <w:pPr>
              <w:pStyle w:val="9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SEQUENCE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t xml:space="preserve">    snpn-AccessInfoList-r17 SEQUENCE (SIZE (1..maxNPN-r16)) OF SNPN-AccessInfo-r17{</w:t>
            </w:r>
          </w:p>
        </w:tc>
        <w:tc>
          <w:tcPr>
            <w:tcW w:w="2267" w:type="dxa"/>
            <w:tcBorders>
              <w:top w:val="single" w:color="auto" w:sz="4" w:space="0"/>
              <w:bottom w:val="single" w:color="auto" w:sz="4" w:space="0"/>
            </w:tcBorders>
            <w:shd w:val="clear" w:color="auto" w:fill="auto"/>
          </w:tcPr>
          <w:p>
            <w:pPr>
              <w:pStyle w:val="96"/>
            </w:pPr>
            <w:r>
              <w:t>1 entry</w:t>
            </w: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SNPN-AccessInfo-r17[1] SEQUENCE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rPr>
                <w:lang w:eastAsia="zh-CN"/>
              </w:rPr>
            </w:pPr>
            <w:r>
              <w:rPr>
                <w:lang w:eastAsia="zh-CN"/>
              </w:rPr>
              <w:t>entry 1</w:t>
            </w: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w:t>
            </w:r>
            <w:r>
              <w:rPr>
                <w:rFonts w:eastAsia="宋体"/>
              </w:rPr>
              <w:t>onboardingEnabled-r17</w:t>
            </w:r>
          </w:p>
        </w:tc>
        <w:tc>
          <w:tcPr>
            <w:tcW w:w="2267" w:type="dxa"/>
            <w:tcBorders>
              <w:top w:val="single" w:color="auto" w:sz="4" w:space="0"/>
              <w:bottom w:val="single" w:color="auto" w:sz="4" w:space="0"/>
            </w:tcBorders>
            <w:shd w:val="clear" w:color="auto" w:fill="auto"/>
          </w:tcPr>
          <w:p>
            <w:pPr>
              <w:pStyle w:val="96"/>
              <w:rPr>
                <w:lang w:eastAsia="zh-CN"/>
              </w:rPr>
            </w:pPr>
            <w:r>
              <w:rPr>
                <w:lang w:eastAsia="zh-CN"/>
              </w:rPr>
              <w:t>Not present</w:t>
            </w: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rPr>
                <w:lang w:eastAsia="zh-CN"/>
              </w:rPr>
              <w:t xml:space="preserve">    }</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rPr>
                <w:lang w:eastAsia="zh-CN"/>
              </w:rPr>
            </w:pPr>
            <w:r>
              <w:rPr>
                <w:lang w:eastAsia="zh-CN"/>
              </w:rP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rPr>
                <w:lang w:eastAsia="zh-CN"/>
              </w:rPr>
            </w:pPr>
          </w:p>
        </w:tc>
      </w:tr>
    </w:tbl>
    <w:p>
      <w:pPr>
        <w:rPr>
          <w:lang w:eastAsia="zh-CN"/>
        </w:rPr>
      </w:pPr>
    </w:p>
    <w:p>
      <w:pPr>
        <w:pStyle w:val="112"/>
      </w:pPr>
      <w:r>
        <w:t xml:space="preserve">Table </w:t>
      </w:r>
      <w:r>
        <w:rPr>
          <w:snapToGrid w:val="0"/>
        </w:rPr>
        <w:t>6.5.3.2.3.3</w:t>
      </w:r>
      <w:r>
        <w:t>-3: SIB1 for NR Cell 2 and NR Cell 4 (all steps and preamble, Table 6.5.3.2.3.2-3)</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7" w:type="dxa"/>
            <w:shd w:val="clear" w:color="auto" w:fill="auto"/>
          </w:tcPr>
          <w:p>
            <w:pPr>
              <w:pStyle w:val="98"/>
              <w:jc w:val="left"/>
              <w:rPr>
                <w:b w:val="0"/>
              </w:rPr>
            </w:pPr>
            <w:r>
              <w:rPr>
                <w:b w:val="0"/>
              </w:rPr>
              <w:t>Derivation path: TS 38.508-1 [4], Table 4.6.1-28 with condition SNPN and eNPN</w:t>
            </w:r>
          </w:p>
        </w:tc>
      </w:tr>
    </w:tbl>
    <w:p>
      <w:pPr>
        <w:rPr>
          <w:lang w:eastAsia="zh-CN"/>
        </w:rPr>
      </w:pPr>
    </w:p>
    <w:p>
      <w:pPr>
        <w:pStyle w:val="5"/>
      </w:pPr>
      <w:r>
        <w:t>6.5.3.4</w:t>
      </w:r>
      <w:r>
        <w:tab/>
      </w:r>
      <w:r>
        <w:t>SNPN Selection in Automatic Mode / Onboarding services in SNPN</w:t>
      </w:r>
    </w:p>
    <w:p>
      <w:pPr>
        <w:pStyle w:val="8"/>
      </w:pPr>
      <w:r>
        <w:t>6.5.3.4.1</w:t>
      </w:r>
      <w:r>
        <w:tab/>
      </w:r>
      <w:r>
        <w:t>Test Purpose (TP)</w:t>
      </w:r>
    </w:p>
    <w:p>
      <w:pPr>
        <w:pStyle w:val="8"/>
      </w:pPr>
      <w:r>
        <w:t>(1)</w:t>
      </w:r>
    </w:p>
    <w:p>
      <w:pPr>
        <w:pStyle w:val="93"/>
      </w:pPr>
      <w:r>
        <w:rPr>
          <w:b/>
          <w:bCs/>
        </w:rPr>
        <w:t>with</w:t>
      </w:r>
      <w:r>
        <w:t xml:space="preserve"> { UE in Automatic network selection mode and an </w:t>
      </w:r>
      <w:r>
        <w:rPr>
          <w:lang w:eastAsia="zh-CN"/>
        </w:rPr>
        <w:t xml:space="preserve">SNPN supporting onboarding service is available which </w:t>
      </w:r>
      <w:r>
        <w:t>does not match the onboarding SNPN selection information }</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does not select the SNPN cell and continues searching for an allowable SNPN Cell }</w:t>
      </w:r>
    </w:p>
    <w:p>
      <w:pPr>
        <w:pStyle w:val="93"/>
      </w:pPr>
      <w:r>
        <w:t xml:space="preserve">            }</w:t>
      </w:r>
    </w:p>
    <w:p>
      <w:pPr>
        <w:pStyle w:val="93"/>
      </w:pPr>
    </w:p>
    <w:p>
      <w:pPr>
        <w:pStyle w:val="8"/>
      </w:pPr>
      <w:r>
        <w:t>(2)</w:t>
      </w:r>
    </w:p>
    <w:p>
      <w:pPr>
        <w:pStyle w:val="93"/>
      </w:pPr>
      <w:r>
        <w:rPr>
          <w:b/>
          <w:bCs/>
        </w:rPr>
        <w:t>with</w:t>
      </w:r>
      <w:r>
        <w:t xml:space="preserve"> { UE in Automatic network selection mode and Registration for onboarding services on an SNPN cell is unsuccessful }</w:t>
      </w:r>
    </w:p>
    <w:p>
      <w:pPr>
        <w:pStyle w:val="93"/>
      </w:pPr>
      <w:r>
        <w:rPr>
          <w:b/>
          <w:bCs/>
        </w:rPr>
        <w:t>ensure that</w:t>
      </w:r>
      <w:r>
        <w:t xml:space="preserve"> {</w:t>
      </w:r>
    </w:p>
    <w:p>
      <w:pPr>
        <w:pStyle w:val="93"/>
      </w:pPr>
      <w:r>
        <w:t xml:space="preserve">  </w:t>
      </w:r>
      <w:r>
        <w:rPr>
          <w:b/>
          <w:bCs/>
        </w:rPr>
        <w:t>when</w:t>
      </w:r>
      <w:r>
        <w:t xml:space="preserve"> { an </w:t>
      </w:r>
      <w:r>
        <w:rPr>
          <w:lang w:eastAsia="zh-CN"/>
        </w:rPr>
        <w:t>SNPN is available</w:t>
      </w:r>
      <w:r>
        <w:t xml:space="preserve"> for which an entry exists in the "list of subscriber data" }</w:t>
      </w:r>
    </w:p>
    <w:p>
      <w:pPr>
        <w:pStyle w:val="93"/>
      </w:pPr>
      <w:r>
        <w:t xml:space="preserve">    </w:t>
      </w:r>
      <w:r>
        <w:rPr>
          <w:b/>
          <w:bCs/>
        </w:rPr>
        <w:t>then</w:t>
      </w:r>
      <w:r>
        <w:t xml:space="preserve"> { UE performs SNPN selection not for onboarding services on the SNPN }</w:t>
      </w:r>
    </w:p>
    <w:p>
      <w:pPr>
        <w:pStyle w:val="93"/>
      </w:pPr>
      <w:r>
        <w:t xml:space="preserve">            }</w:t>
      </w:r>
    </w:p>
    <w:p>
      <w:pPr>
        <w:pStyle w:val="93"/>
      </w:pPr>
    </w:p>
    <w:p>
      <w:pPr>
        <w:pStyle w:val="8"/>
      </w:pPr>
      <w:r>
        <w:t>6.5.3.4.2</w:t>
      </w:r>
      <w:r>
        <w:tab/>
      </w:r>
      <w:r>
        <w:t>Conformance requirements</w:t>
      </w:r>
    </w:p>
    <w:p>
      <w:r>
        <w:t>References: The conformance requirements covered in the current TC are specified in: TS 23.122 clauses 4.9.3.1.3. Unless otherwise stated these are Rel-17 requirements.</w:t>
      </w:r>
    </w:p>
    <w:p>
      <w:r>
        <w:t>[TS 23.122, clause 4.9.3.1.3]</w:t>
      </w:r>
    </w:p>
    <w:p>
      <w:r>
        <w:t>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available, how the MS selects one of those SNPNs is MS implementation specific. The MS shall not select an SNPN not indicating that onboarding is allowed or not matching the onboarding SNPN selection information, if pre-configured, for onboarding services in SNPN.</w:t>
      </w:r>
    </w:p>
    <w:p>
      <w:r>
        <w:t>The MS shall limit its search for the SNPN to the NG-RAN access technology.</w:t>
      </w:r>
    </w:p>
    <w:p>
      <w:r>
        <w:t>Once the MS selects the SNPN, the MS shall attempt initial registration for onboarding services in SNPN on the selected SNPN using the NG-RAN access technology and the default UE credentials for primary authentication.</w:t>
      </w:r>
    </w:p>
    <w:p>
      <w:r>
        <w:t>If successful registration is achieved, the MS may indicate to upper layers the selected SNPN. How this indication is displayed by upper layers is implementation specific.</w:t>
      </w:r>
    </w:p>
    <w:p>
      <w:r>
        <w:t>If successful registration is not achieved and one or more other SNPNs indicating that onboarding is allowed and matching the onboarding SNPN selection information, if pre-configured, are available, the MS can select such other SNPN and attempt initial registration for onboarding services in SNPN on the selected SNPN using the NG-RAN access technology and the default UE credentials for primary authentication, or the MS can perform SNPN selection not for onboarding services in SNPN as specified in clause 4.9.3.1.1 or clause 4.9.3.1.2 depending on its SNPN selection mode.</w:t>
      </w:r>
    </w:p>
    <w:p>
      <w:r>
        <w:t>If:</w:t>
      </w:r>
    </w:p>
    <w:p>
      <w:pPr>
        <w:pStyle w:val="108"/>
      </w:pPr>
      <w:r>
        <w:t>-</w:t>
      </w:r>
      <w:r>
        <w:tab/>
      </w:r>
      <w:r>
        <w:t>registration cannot be achieved because no SNPNs indicating that onboarding is allowed and matching the onboarding SNPN selection information, if pre-configured, are available; or</w:t>
      </w:r>
    </w:p>
    <w:p>
      <w:pPr>
        <w:pStyle w:val="108"/>
      </w:pPr>
      <w:r>
        <w:t>-</w:t>
      </w:r>
      <w:r>
        <w:tab/>
      </w:r>
      <w:r>
        <w:t>there were one or more SNPNs indicating that onboarding is allowed and matching the onboarding SNPN selection information, if pre-configured, but an LR failure made registration on all those SNPNs unsuccessful;</w:t>
      </w:r>
    </w:p>
    <w:p>
      <w:pPr>
        <w:rPr>
          <w:rFonts w:eastAsia="等线"/>
        </w:rPr>
      </w:pPr>
      <w:r>
        <w:t>the MS can indicate no onboarding services to upper layers, enter limited service state and wait until a new SNPN indicating that onboarding is allowed and matching the onboarding SNPN selection information, if pre-configured, is available and then repeat the procedure, or the MS can perform SNPN selection not for onboarding services in SNPN as specified in clause 4.9.3.1.1 or clause 4.9.3.1.2 depending on its SNPN selection mode.</w:t>
      </w:r>
    </w:p>
    <w:p>
      <w:pPr>
        <w:pStyle w:val="8"/>
      </w:pPr>
      <w:r>
        <w:t>6.5.3.4.3</w:t>
      </w:r>
      <w:r>
        <w:tab/>
      </w:r>
      <w:r>
        <w:t>Test description</w:t>
      </w:r>
    </w:p>
    <w:p>
      <w:pPr>
        <w:pStyle w:val="8"/>
      </w:pPr>
      <w:r>
        <w:t>6.5.3.4.3.1</w:t>
      </w:r>
      <w:r>
        <w:tab/>
      </w:r>
      <w:r>
        <w:t>Pre-test conditions</w:t>
      </w:r>
    </w:p>
    <w:p>
      <w:pPr>
        <w:pStyle w:val="8"/>
      </w:pPr>
      <w:r>
        <w:t>System Simulator:</w:t>
      </w:r>
    </w:p>
    <w:p>
      <w:pPr>
        <w:pStyle w:val="108"/>
      </w:pPr>
      <w:r>
        <w:t>-</w:t>
      </w:r>
      <w:r>
        <w:tab/>
      </w:r>
      <w:r>
        <w:t>3 SNPN cells: NR Cell 1, NR Cell 2 and NR Cell 3 are configured broadcasting default SNPN IDs as indicated in TS 38.508-1 [4] Table 4.4.2-4.</w:t>
      </w:r>
    </w:p>
    <w:p>
      <w:pPr>
        <w:pStyle w:val="108"/>
      </w:pPr>
      <w:r>
        <w:t>-</w:t>
      </w:r>
      <w:r>
        <w:tab/>
      </w:r>
      <w:r>
        <w:t>System information combination NR-26 as defined in TS 38.508-1 [4] clause 4.4.3.1.2 is used in NR cells.</w:t>
      </w:r>
    </w:p>
    <w:p>
      <w:pPr>
        <w:pStyle w:val="8"/>
      </w:pPr>
      <w:r>
        <w:t>UE:</w:t>
      </w:r>
    </w:p>
    <w:p>
      <w:pPr>
        <w:pStyle w:val="108"/>
      </w:pPr>
      <w:r>
        <w:t>-</w:t>
      </w:r>
      <w:r>
        <w:tab/>
      </w:r>
      <w:r>
        <w:t>The UE is in Automatic SNPN selection mode.</w:t>
      </w:r>
    </w:p>
    <w:p>
      <w:pPr>
        <w:pStyle w:val="108"/>
      </w:pPr>
      <w:r>
        <w:t>-</w:t>
      </w:r>
      <w:r>
        <w:tab/>
      </w:r>
      <w:r>
        <w:t xml:space="preserve">The UE is provisioned default UE credentials and is pre-configured with onboarding SNPN selection information to allow access to SNPN identified by NR Cell 1. </w:t>
      </w:r>
    </w:p>
    <w:p>
      <w:pPr>
        <w:pStyle w:val="108"/>
      </w:pPr>
      <w:r>
        <w:t>-</w:t>
      </w:r>
      <w:r>
        <w:tab/>
      </w:r>
      <w:r>
        <w:t xml:space="preserve">The UE is provisioned with a “list of subscriber data” to allow access to SNPN identified by NR Cell 3. </w:t>
      </w:r>
    </w:p>
    <w:p>
      <w:pPr>
        <w:pStyle w:val="8"/>
      </w:pPr>
      <w:r>
        <w:t>Preamble:</w:t>
      </w:r>
    </w:p>
    <w:p>
      <w:pPr>
        <w:pStyle w:val="108"/>
      </w:pPr>
      <w:r>
        <w:t>-</w:t>
      </w:r>
      <w:r>
        <w:tab/>
      </w:r>
      <w:r>
        <w:t>Ensure that the UE has cleared the Registered SNPN, a</w:t>
      </w:r>
      <w:r>
        <w:rPr>
          <w:lang w:eastAsia="zh-CN"/>
        </w:rPr>
        <w:t xml:space="preserve">nd </w:t>
      </w:r>
      <w:r>
        <w:rPr>
          <w:lang w:eastAsia="zh-TW"/>
        </w:rPr>
        <w:t>the UE is in state Switched OFF (state 0-A)</w:t>
      </w:r>
      <w:r>
        <w:t>.</w:t>
      </w:r>
    </w:p>
    <w:p>
      <w:pPr>
        <w:pStyle w:val="8"/>
      </w:pPr>
      <w:r>
        <w:t>6.5.3.4.3.2</w:t>
      </w:r>
      <w:r>
        <w:tab/>
      </w:r>
      <w:r>
        <w:t xml:space="preserve">Test </w:t>
      </w:r>
      <w:r>
        <w:rPr>
          <w:snapToGrid w:val="0"/>
        </w:rPr>
        <w:t>procedure</w:t>
      </w:r>
      <w:r>
        <w:t xml:space="preserve"> sequence</w:t>
      </w:r>
    </w:p>
    <w:p>
      <w:r>
        <w:t>Table 6.5.3.4.3.2-1</w:t>
      </w:r>
      <w:r>
        <w:rPr>
          <w:lang w:eastAsia="zh-CN"/>
        </w:rPr>
        <w:t>/2</w:t>
      </w:r>
      <w:r>
        <w:t xml:space="preserve"> shows the cell configurations used during the test. Subsequent configurations marked “T1”, “T2” and “T3” etc are applied at the points indicated in the Main behaviour description in Table 6.5.3.4.3.2-3. Cell powers are chosen for a serving cell and a non-suitable “Off” cell as defined in TS 38.508-1 [4] Table 6.2.2.1-3 for FR1 and Table 6.2.2.2-2 for FR2.</w:t>
      </w:r>
    </w:p>
    <w:p>
      <w:pPr>
        <w:pStyle w:val="112"/>
        <w:rPr>
          <w:lang w:eastAsia="zh-CN"/>
        </w:rPr>
      </w:pPr>
      <w:r>
        <w:t>Table 6.5.3.4.3.2-1: Time instances of cell power level and parameter changes for FR1</w:t>
      </w:r>
    </w:p>
    <w:tbl>
      <w:tblPr>
        <w:tblStyle w:val="61"/>
        <w:tblW w:w="9784"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838"/>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tcPr>
          <w:p>
            <w:pPr>
              <w:keepNext/>
              <w:keepLines/>
              <w:spacing w:after="0"/>
              <w:jc w:val="center"/>
              <w:rPr>
                <w:rFonts w:ascii="Arial" w:hAnsi="Arial"/>
                <w:b/>
                <w:sz w:val="18"/>
              </w:rPr>
            </w:pPr>
            <w:r>
              <w:rPr>
                <w:rFonts w:ascii="Arial" w:hAnsi="Arial"/>
                <w:b/>
                <w:sz w:val="18"/>
              </w:rPr>
              <w:t> </w:t>
            </w:r>
          </w:p>
        </w:tc>
        <w:tc>
          <w:tcPr>
            <w:tcW w:w="1140" w:type="dxa"/>
            <w:shd w:val="clear" w:color="auto" w:fill="auto"/>
          </w:tcPr>
          <w:p>
            <w:pPr>
              <w:keepNext/>
              <w:keepLines/>
              <w:spacing w:after="0"/>
              <w:jc w:val="center"/>
              <w:rPr>
                <w:rFonts w:ascii="Arial" w:hAnsi="Arial"/>
                <w:b/>
                <w:sz w:val="18"/>
              </w:rPr>
            </w:pPr>
            <w:r>
              <w:rPr>
                <w:rFonts w:ascii="Arial" w:hAnsi="Arial"/>
                <w:b/>
                <w:sz w:val="18"/>
              </w:rPr>
              <w:t>Parameter</w:t>
            </w:r>
          </w:p>
        </w:tc>
        <w:tc>
          <w:tcPr>
            <w:tcW w:w="1082" w:type="dxa"/>
            <w:shd w:val="clear" w:color="auto" w:fill="auto"/>
          </w:tcPr>
          <w:p>
            <w:pPr>
              <w:keepNext/>
              <w:keepLines/>
              <w:spacing w:after="0"/>
              <w:jc w:val="center"/>
              <w:rPr>
                <w:rFonts w:ascii="Arial" w:hAnsi="Arial"/>
                <w:b/>
                <w:sz w:val="18"/>
              </w:rPr>
            </w:pPr>
            <w:r>
              <w:rPr>
                <w:rFonts w:ascii="Arial" w:hAnsi="Arial"/>
                <w:b/>
                <w:sz w:val="18"/>
              </w:rPr>
              <w:t>Unit</w:t>
            </w:r>
          </w:p>
        </w:tc>
        <w:tc>
          <w:tcPr>
            <w:tcW w:w="705" w:type="dxa"/>
            <w:shd w:val="clear" w:color="auto" w:fill="auto"/>
          </w:tcPr>
          <w:p>
            <w:pPr>
              <w:keepNext/>
              <w:keepLines/>
              <w:spacing w:after="0"/>
              <w:jc w:val="center"/>
              <w:rPr>
                <w:rFonts w:ascii="Arial" w:hAnsi="Arial"/>
                <w:b/>
                <w:sz w:val="18"/>
              </w:rPr>
            </w:pPr>
            <w:r>
              <w:rPr>
                <w:rFonts w:ascii="Arial" w:hAnsi="Arial"/>
                <w:b/>
                <w:sz w:val="18"/>
              </w:rPr>
              <w:t>NR Cell 1</w:t>
            </w:r>
          </w:p>
        </w:tc>
        <w:tc>
          <w:tcPr>
            <w:tcW w:w="722" w:type="dxa"/>
            <w:shd w:val="clear" w:color="auto" w:fill="auto"/>
          </w:tcPr>
          <w:p>
            <w:pPr>
              <w:keepNext/>
              <w:keepLines/>
              <w:spacing w:after="0"/>
              <w:jc w:val="center"/>
              <w:rPr>
                <w:rFonts w:ascii="Arial" w:hAnsi="Arial"/>
                <w:b/>
                <w:sz w:val="18"/>
              </w:rPr>
            </w:pPr>
            <w:r>
              <w:rPr>
                <w:rFonts w:ascii="Arial" w:hAnsi="Arial"/>
                <w:b/>
                <w:sz w:val="18"/>
              </w:rPr>
              <w:t>NR Cell 2</w:t>
            </w:r>
          </w:p>
        </w:tc>
        <w:tc>
          <w:tcPr>
            <w:tcW w:w="838" w:type="dxa"/>
          </w:tcPr>
          <w:p>
            <w:pPr>
              <w:keepNext/>
              <w:keepLines/>
              <w:spacing w:after="0"/>
              <w:jc w:val="center"/>
              <w:rPr>
                <w:rFonts w:ascii="Arial" w:hAnsi="Arial"/>
                <w:b/>
                <w:sz w:val="18"/>
              </w:rPr>
            </w:pPr>
            <w:r>
              <w:rPr>
                <w:rFonts w:ascii="Arial" w:hAnsi="Arial"/>
                <w:b/>
                <w:sz w:val="18"/>
              </w:rPr>
              <w:t>NR Cell 3</w:t>
            </w:r>
          </w:p>
        </w:tc>
        <w:tc>
          <w:tcPr>
            <w:tcW w:w="4500"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rPr>
            </w:pPr>
            <w:r>
              <w:rPr>
                <w:rFonts w:ascii="Arial" w:hAnsi="Arial"/>
                <w:sz w:val="18"/>
              </w:rPr>
              <w:t>"Off"</w:t>
            </w:r>
          </w:p>
        </w:tc>
        <w:tc>
          <w:tcPr>
            <w:tcW w:w="72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-88</w:t>
            </w:r>
          </w:p>
        </w:tc>
        <w:tc>
          <w:tcPr>
            <w:tcW w:w="838" w:type="dxa"/>
            <w:vAlign w:val="center"/>
          </w:tcPr>
          <w:p>
            <w:pPr>
              <w:keepNext/>
              <w:keepLines/>
              <w:spacing w:after="0"/>
              <w:jc w:val="center"/>
              <w:rPr>
                <w:rFonts w:ascii="Arial" w:hAnsi="Arial"/>
                <w:sz w:val="18"/>
              </w:rPr>
            </w:pPr>
            <w:r>
              <w:rPr>
                <w:rFonts w:ascii="Arial" w:hAnsi="Arial"/>
                <w:sz w:val="18"/>
              </w:rPr>
              <w:t>"Off"</w:t>
            </w:r>
          </w:p>
        </w:tc>
        <w:tc>
          <w:tcPr>
            <w:tcW w:w="4500"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722"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838" w:type="dxa"/>
            <w:vAlign w:val="center"/>
          </w:tcPr>
          <w:p>
            <w:pPr>
              <w:keepNext/>
              <w:keepLines/>
              <w:spacing w:after="0"/>
              <w:jc w:val="center"/>
              <w:rPr>
                <w:rFonts w:ascii="Arial" w:hAnsi="Arial"/>
                <w:sz w:val="18"/>
              </w:rPr>
            </w:pPr>
            <w:r>
              <w:rPr>
                <w:rFonts w:ascii="Arial" w:hAnsi="Arial"/>
                <w:sz w:val="18"/>
              </w:rPr>
              <w:t>"Off"</w:t>
            </w:r>
          </w:p>
        </w:tc>
        <w:tc>
          <w:tcPr>
            <w:tcW w:w="4500"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vAlign w:val="center"/>
          </w:tcPr>
          <w:p>
            <w:pPr>
              <w:keepNext/>
              <w:keepLines/>
              <w:spacing w:after="0"/>
              <w:jc w:val="center"/>
              <w:rPr>
                <w:rFonts w:ascii="Arial" w:hAnsi="Arial"/>
                <w:b/>
                <w:sz w:val="18"/>
              </w:rPr>
            </w:pPr>
            <w:r>
              <w:rPr>
                <w:rFonts w:ascii="Arial" w:hAnsi="Arial"/>
                <w:b/>
                <w:sz w:val="18"/>
              </w:rPr>
              <w:t>T3</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rPr>
            </w:pPr>
            <w:r>
              <w:rPr>
                <w:rFonts w:ascii="Arial" w:hAnsi="Arial"/>
                <w:sz w:val="18"/>
              </w:rPr>
              <w:t>-88</w:t>
            </w:r>
          </w:p>
        </w:tc>
        <w:tc>
          <w:tcPr>
            <w:tcW w:w="722" w:type="dxa"/>
            <w:shd w:val="clear" w:color="auto" w:fill="auto"/>
            <w:vAlign w:val="center"/>
          </w:tcPr>
          <w:p>
            <w:pPr>
              <w:keepNext/>
              <w:keepLines/>
              <w:spacing w:after="0"/>
              <w:jc w:val="center"/>
              <w:rPr>
                <w:rFonts w:ascii="Arial" w:hAnsi="Arial"/>
                <w:sz w:val="18"/>
              </w:rPr>
            </w:pPr>
            <w:r>
              <w:rPr>
                <w:rFonts w:ascii="Arial" w:hAnsi="Arial"/>
                <w:sz w:val="18"/>
              </w:rPr>
              <w:t>"Off"</w:t>
            </w:r>
          </w:p>
        </w:tc>
        <w:tc>
          <w:tcPr>
            <w:tcW w:w="838" w:type="dxa"/>
            <w:vAlign w:val="center"/>
          </w:tcPr>
          <w:p>
            <w:pPr>
              <w:keepNext/>
              <w:keepLines/>
              <w:spacing w:after="0"/>
              <w:jc w:val="center"/>
              <w:rPr>
                <w:rFonts w:ascii="Arial" w:hAnsi="Arial"/>
                <w:sz w:val="18"/>
              </w:rPr>
            </w:pPr>
            <w:r>
              <w:rPr>
                <w:rFonts w:ascii="Arial" w:hAnsi="Arial"/>
                <w:sz w:val="18"/>
              </w:rPr>
              <w:t>-88</w:t>
            </w:r>
          </w:p>
        </w:tc>
        <w:tc>
          <w:tcPr>
            <w:tcW w:w="4500" w:type="dxa"/>
            <w:shd w:val="clear" w:color="auto" w:fill="auto"/>
            <w:vAlign w:val="center"/>
          </w:tcPr>
          <w:p>
            <w:pPr>
              <w:keepNext/>
              <w:keepLines/>
              <w:spacing w:after="0"/>
              <w:jc w:val="center"/>
              <w:rPr>
                <w:rFonts w:ascii="Arial" w:hAnsi="Arial"/>
                <w:sz w:val="18"/>
              </w:rPr>
            </w:pPr>
          </w:p>
        </w:tc>
      </w:tr>
    </w:tbl>
    <w:p/>
    <w:p>
      <w:pPr>
        <w:pStyle w:val="112"/>
      </w:pPr>
      <w:r>
        <w:t>Table 6.5.3.4.3.2-</w:t>
      </w:r>
      <w:r>
        <w:rPr>
          <w:lang w:eastAsia="zh-CN"/>
        </w:rPr>
        <w:t>2</w:t>
      </w:r>
      <w:r>
        <w:t>: Time instances of cell power level and parameter changes for FR</w:t>
      </w:r>
      <w:r>
        <w:rPr>
          <w:lang w:eastAsia="zh-CN"/>
        </w:rPr>
        <w:t>2</w:t>
      </w:r>
    </w:p>
    <w:tbl>
      <w:tblPr>
        <w:tblStyle w:val="61"/>
        <w:tblW w:w="9784"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838"/>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97" w:type="dxa"/>
            <w:shd w:val="clear" w:color="auto" w:fill="auto"/>
          </w:tcPr>
          <w:p>
            <w:pPr>
              <w:keepNext/>
              <w:keepLines/>
              <w:spacing w:after="0"/>
              <w:jc w:val="center"/>
              <w:rPr>
                <w:rFonts w:ascii="Arial" w:hAnsi="Arial"/>
                <w:b/>
                <w:sz w:val="18"/>
              </w:rPr>
            </w:pPr>
            <w:r>
              <w:rPr>
                <w:rFonts w:ascii="Arial" w:hAnsi="Arial"/>
                <w:b/>
                <w:sz w:val="18"/>
              </w:rPr>
              <w:t> </w:t>
            </w:r>
          </w:p>
        </w:tc>
        <w:tc>
          <w:tcPr>
            <w:tcW w:w="1140" w:type="dxa"/>
            <w:shd w:val="clear" w:color="auto" w:fill="auto"/>
          </w:tcPr>
          <w:p>
            <w:pPr>
              <w:keepNext/>
              <w:keepLines/>
              <w:spacing w:after="0"/>
              <w:jc w:val="center"/>
              <w:rPr>
                <w:rFonts w:ascii="Arial" w:hAnsi="Arial"/>
                <w:b/>
                <w:sz w:val="18"/>
              </w:rPr>
            </w:pPr>
            <w:r>
              <w:rPr>
                <w:rFonts w:ascii="Arial" w:hAnsi="Arial"/>
                <w:b/>
                <w:sz w:val="18"/>
              </w:rPr>
              <w:t>Parameter</w:t>
            </w:r>
          </w:p>
        </w:tc>
        <w:tc>
          <w:tcPr>
            <w:tcW w:w="1082" w:type="dxa"/>
            <w:shd w:val="clear" w:color="auto" w:fill="auto"/>
          </w:tcPr>
          <w:p>
            <w:pPr>
              <w:keepNext/>
              <w:keepLines/>
              <w:spacing w:after="0"/>
              <w:jc w:val="center"/>
              <w:rPr>
                <w:rFonts w:ascii="Arial" w:hAnsi="Arial"/>
                <w:b/>
                <w:sz w:val="18"/>
              </w:rPr>
            </w:pPr>
            <w:r>
              <w:rPr>
                <w:rFonts w:ascii="Arial" w:hAnsi="Arial"/>
                <w:b/>
                <w:sz w:val="18"/>
              </w:rPr>
              <w:t>Unit</w:t>
            </w:r>
          </w:p>
        </w:tc>
        <w:tc>
          <w:tcPr>
            <w:tcW w:w="705" w:type="dxa"/>
            <w:shd w:val="clear" w:color="auto" w:fill="auto"/>
          </w:tcPr>
          <w:p>
            <w:pPr>
              <w:keepNext/>
              <w:keepLines/>
              <w:spacing w:after="0"/>
              <w:jc w:val="center"/>
              <w:rPr>
                <w:rFonts w:ascii="Arial" w:hAnsi="Arial"/>
                <w:b/>
                <w:sz w:val="18"/>
              </w:rPr>
            </w:pPr>
            <w:r>
              <w:rPr>
                <w:rFonts w:ascii="Arial" w:hAnsi="Arial"/>
                <w:b/>
                <w:sz w:val="18"/>
              </w:rPr>
              <w:t>NR Cell 1</w:t>
            </w:r>
          </w:p>
        </w:tc>
        <w:tc>
          <w:tcPr>
            <w:tcW w:w="722" w:type="dxa"/>
            <w:shd w:val="clear" w:color="auto" w:fill="auto"/>
          </w:tcPr>
          <w:p>
            <w:pPr>
              <w:keepNext/>
              <w:keepLines/>
              <w:spacing w:after="0"/>
              <w:jc w:val="center"/>
              <w:rPr>
                <w:rFonts w:ascii="Arial" w:hAnsi="Arial"/>
                <w:b/>
                <w:sz w:val="18"/>
              </w:rPr>
            </w:pPr>
            <w:r>
              <w:rPr>
                <w:rFonts w:ascii="Arial" w:hAnsi="Arial"/>
                <w:b/>
                <w:sz w:val="18"/>
              </w:rPr>
              <w:t>NR Cell 2</w:t>
            </w:r>
          </w:p>
        </w:tc>
        <w:tc>
          <w:tcPr>
            <w:tcW w:w="838" w:type="dxa"/>
          </w:tcPr>
          <w:p>
            <w:pPr>
              <w:keepNext/>
              <w:keepLines/>
              <w:spacing w:after="0"/>
              <w:jc w:val="center"/>
              <w:rPr>
                <w:rFonts w:ascii="Arial" w:hAnsi="Arial"/>
                <w:b/>
                <w:sz w:val="18"/>
              </w:rPr>
            </w:pPr>
            <w:r>
              <w:rPr>
                <w:rFonts w:ascii="Arial" w:hAnsi="Arial"/>
                <w:b/>
                <w:sz w:val="18"/>
              </w:rPr>
              <w:t>NR Cell 3</w:t>
            </w:r>
          </w:p>
        </w:tc>
        <w:tc>
          <w:tcPr>
            <w:tcW w:w="4500" w:type="dxa"/>
            <w:shd w:val="clear" w:color="auto" w:fill="auto"/>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vAlign w:val="center"/>
          </w:tcPr>
          <w:p>
            <w:pPr>
              <w:keepNext/>
              <w:keepLines/>
              <w:spacing w:after="0"/>
              <w:jc w:val="center"/>
              <w:rPr>
                <w:rFonts w:ascii="Arial" w:hAnsi="Arial"/>
                <w:b/>
                <w:sz w:val="18"/>
                <w:lang w:eastAsia="zh-CN"/>
              </w:rPr>
            </w:pPr>
            <w:r>
              <w:rPr>
                <w:rFonts w:ascii="Arial" w:hAnsi="Arial"/>
                <w:b/>
                <w:sz w:val="18"/>
              </w:rPr>
              <w:t>T1</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lang w:eastAsia="zh-CN"/>
              </w:rPr>
            </w:pPr>
            <w:r>
              <w:rPr>
                <w:rFonts w:ascii="Arial" w:hAnsi="Arial"/>
                <w:sz w:val="18"/>
              </w:rPr>
              <w:t>"Off"</w:t>
            </w:r>
          </w:p>
        </w:tc>
        <w:tc>
          <w:tcPr>
            <w:tcW w:w="72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-82</w:t>
            </w:r>
          </w:p>
        </w:tc>
        <w:tc>
          <w:tcPr>
            <w:tcW w:w="838" w:type="dxa"/>
            <w:vAlign w:val="center"/>
          </w:tcPr>
          <w:p>
            <w:pPr>
              <w:keepNext/>
              <w:keepLines/>
              <w:spacing w:after="0"/>
              <w:jc w:val="center"/>
              <w:rPr>
                <w:rFonts w:ascii="Arial" w:hAnsi="Arial"/>
                <w:sz w:val="18"/>
                <w:lang w:eastAsia="zh-CN"/>
              </w:rPr>
            </w:pPr>
            <w:r>
              <w:rPr>
                <w:rFonts w:ascii="Arial" w:hAnsi="Arial"/>
                <w:sz w:val="18"/>
              </w:rPr>
              <w:t>"Off"</w:t>
            </w:r>
          </w:p>
        </w:tc>
        <w:tc>
          <w:tcPr>
            <w:tcW w:w="4500"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vAlign w:val="center"/>
          </w:tcPr>
          <w:p>
            <w:pPr>
              <w:keepNext/>
              <w:keepLines/>
              <w:spacing w:after="0"/>
              <w:jc w:val="center"/>
              <w:rPr>
                <w:rFonts w:ascii="Arial" w:hAnsi="Arial"/>
                <w:b/>
                <w:sz w:val="18"/>
                <w:lang w:eastAsia="zh-CN"/>
              </w:rPr>
            </w:pPr>
            <w:r>
              <w:rPr>
                <w:rFonts w:ascii="Arial" w:hAnsi="Arial"/>
                <w:b/>
                <w:sz w:val="18"/>
              </w:rPr>
              <w:t>T2</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-82</w:t>
            </w:r>
          </w:p>
        </w:tc>
        <w:tc>
          <w:tcPr>
            <w:tcW w:w="722"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-82</w:t>
            </w:r>
          </w:p>
        </w:tc>
        <w:tc>
          <w:tcPr>
            <w:tcW w:w="838" w:type="dxa"/>
            <w:vAlign w:val="center"/>
          </w:tcPr>
          <w:p>
            <w:pPr>
              <w:keepNext/>
              <w:keepLines/>
              <w:spacing w:after="0"/>
              <w:jc w:val="center"/>
              <w:rPr>
                <w:rFonts w:ascii="Arial" w:hAnsi="Arial"/>
                <w:sz w:val="18"/>
                <w:lang w:eastAsia="zh-CN"/>
              </w:rPr>
            </w:pPr>
            <w:r>
              <w:rPr>
                <w:rFonts w:ascii="Arial" w:hAnsi="Arial"/>
                <w:sz w:val="18"/>
              </w:rPr>
              <w:t>"Off"</w:t>
            </w:r>
          </w:p>
        </w:tc>
        <w:tc>
          <w:tcPr>
            <w:tcW w:w="4500"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vAlign w:val="center"/>
          </w:tcPr>
          <w:p>
            <w:pPr>
              <w:keepNext/>
              <w:keepLines/>
              <w:spacing w:after="0"/>
              <w:jc w:val="center"/>
              <w:rPr>
                <w:rFonts w:ascii="Arial" w:hAnsi="Arial"/>
                <w:b/>
                <w:sz w:val="18"/>
              </w:rPr>
            </w:pPr>
            <w:r>
              <w:rPr>
                <w:rFonts w:ascii="Arial" w:hAnsi="Arial"/>
                <w:b/>
                <w:sz w:val="18"/>
              </w:rPr>
              <w:t>T3</w:t>
            </w:r>
          </w:p>
        </w:tc>
        <w:tc>
          <w:tcPr>
            <w:tcW w:w="1140" w:type="dxa"/>
            <w:shd w:val="clear" w:color="auto" w:fill="auto"/>
            <w:vAlign w:val="center"/>
          </w:tcPr>
          <w:p>
            <w:pPr>
              <w:keepNext/>
              <w:keepLines/>
              <w:spacing w:after="0"/>
              <w:jc w:val="center"/>
              <w:rPr>
                <w:rFonts w:ascii="Arial" w:hAnsi="Arial"/>
                <w:sz w:val="18"/>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shd w:val="clear" w:color="auto" w:fill="auto"/>
            <w:vAlign w:val="center"/>
          </w:tcPr>
          <w:p>
            <w:pPr>
              <w:keepNext/>
              <w:keepLines/>
              <w:spacing w:after="0"/>
              <w:jc w:val="center"/>
              <w:rPr>
                <w:rFonts w:ascii="Arial" w:hAnsi="Arial"/>
                <w:sz w:val="18"/>
              </w:rPr>
            </w:pPr>
            <w:r>
              <w:rPr>
                <w:rFonts w:ascii="Arial" w:hAnsi="Arial"/>
                <w:sz w:val="18"/>
              </w:rPr>
              <w:t>dBm/SCS</w:t>
            </w:r>
          </w:p>
        </w:tc>
        <w:tc>
          <w:tcPr>
            <w:tcW w:w="705"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-82</w:t>
            </w:r>
          </w:p>
        </w:tc>
        <w:tc>
          <w:tcPr>
            <w:tcW w:w="722" w:type="dxa"/>
            <w:shd w:val="clear" w:color="auto" w:fill="auto"/>
            <w:vAlign w:val="center"/>
          </w:tcPr>
          <w:p>
            <w:pPr>
              <w:keepNext/>
              <w:keepLines/>
              <w:spacing w:after="0"/>
              <w:jc w:val="center"/>
              <w:rPr>
                <w:rFonts w:ascii="Arial" w:hAnsi="Arial"/>
                <w:sz w:val="18"/>
                <w:lang w:eastAsia="zh-CN"/>
              </w:rPr>
            </w:pPr>
            <w:r>
              <w:rPr>
                <w:rFonts w:ascii="Arial" w:hAnsi="Arial"/>
                <w:sz w:val="18"/>
              </w:rPr>
              <w:t>"Off"</w:t>
            </w:r>
          </w:p>
        </w:tc>
        <w:tc>
          <w:tcPr>
            <w:tcW w:w="838" w:type="dxa"/>
            <w:vAlign w:val="center"/>
          </w:tcPr>
          <w:p>
            <w:pPr>
              <w:keepNext/>
              <w:keepLines/>
              <w:spacing w:after="0"/>
              <w:jc w:val="center"/>
              <w:rPr>
                <w:rFonts w:ascii="Arial" w:hAnsi="Arial"/>
                <w:sz w:val="18"/>
                <w:lang w:eastAsia="zh-CN"/>
              </w:rPr>
            </w:pPr>
            <w:r>
              <w:rPr>
                <w:rFonts w:ascii="Arial" w:hAnsi="Arial"/>
                <w:sz w:val="18"/>
                <w:lang w:eastAsia="zh-CN"/>
              </w:rPr>
              <w:t>-82</w:t>
            </w:r>
          </w:p>
        </w:tc>
        <w:tc>
          <w:tcPr>
            <w:tcW w:w="4500" w:type="dxa"/>
            <w:shd w:val="clear" w:color="auto" w:fill="auto"/>
            <w:vAlign w:val="center"/>
          </w:tcPr>
          <w:p>
            <w:pPr>
              <w:keepNext/>
              <w:keepLines/>
              <w:spacing w:after="0"/>
              <w:jc w:val="center"/>
              <w:rPr>
                <w:rFonts w:ascii="Arial" w:hAnsi="Arial"/>
                <w:sz w:val="18"/>
              </w:rPr>
            </w:pPr>
          </w:p>
        </w:tc>
      </w:tr>
    </w:tbl>
    <w:p/>
    <w:p>
      <w:pPr>
        <w:pStyle w:val="112"/>
      </w:pPr>
      <w:r>
        <w:t>Table 6.5.3.4.3.2-3: Main behaviour</w:t>
      </w:r>
    </w:p>
    <w:tbl>
      <w:tblPr>
        <w:tblStyle w:val="61"/>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tcBorders>
            <w:shd w:val="clear" w:color="auto" w:fill="auto"/>
          </w:tcPr>
          <w:p>
            <w:pPr>
              <w:keepNext/>
              <w:keepLines/>
              <w:spacing w:after="0"/>
              <w:jc w:val="center"/>
              <w:rPr>
                <w:rFonts w:ascii="Arial" w:hAnsi="Arial"/>
                <w:b/>
                <w:sz w:val="18"/>
              </w:rPr>
            </w:pPr>
            <w:r>
              <w:rPr>
                <w:rFonts w:ascii="Arial" w:hAnsi="Arial"/>
                <w:b/>
                <w:sz w:val="18"/>
              </w:rPr>
              <w:t>St</w:t>
            </w:r>
          </w:p>
        </w:tc>
        <w:tc>
          <w:tcPr>
            <w:tcW w:w="3968" w:type="dxa"/>
            <w:shd w:val="clear" w:color="auto" w:fill="auto"/>
          </w:tcPr>
          <w:p>
            <w:pPr>
              <w:keepNext/>
              <w:keepLines/>
              <w:spacing w:after="0"/>
              <w:jc w:val="center"/>
              <w:rPr>
                <w:rFonts w:ascii="Arial" w:hAnsi="Arial"/>
                <w:b/>
                <w:sz w:val="18"/>
              </w:rPr>
            </w:pPr>
            <w:r>
              <w:rPr>
                <w:rFonts w:ascii="Arial" w:hAnsi="Arial"/>
                <w:b/>
                <w:sz w:val="18"/>
              </w:rPr>
              <w:t>Procedure</w:t>
            </w:r>
          </w:p>
        </w:tc>
        <w:tc>
          <w:tcPr>
            <w:tcW w:w="3684" w:type="dxa"/>
            <w:gridSpan w:val="2"/>
            <w:shd w:val="clear" w:color="auto" w:fill="auto"/>
          </w:tcPr>
          <w:p>
            <w:pPr>
              <w:keepNext/>
              <w:keepLines/>
              <w:spacing w:after="0"/>
              <w:jc w:val="center"/>
              <w:rPr>
                <w:rFonts w:ascii="Arial" w:hAnsi="Arial"/>
                <w:b/>
                <w:sz w:val="18"/>
              </w:rPr>
            </w:pPr>
            <w:r>
              <w:rPr>
                <w:rFonts w:ascii="Arial" w:hAnsi="Arial"/>
                <w:b/>
                <w:sz w:val="18"/>
              </w:rPr>
              <w:t>Message Sequence</w:t>
            </w:r>
          </w:p>
        </w:tc>
        <w:tc>
          <w:tcPr>
            <w:tcW w:w="567" w:type="dxa"/>
            <w:tcBorders>
              <w:bottom w:val="nil"/>
            </w:tcBorders>
            <w:shd w:val="clear" w:color="auto" w:fill="auto"/>
          </w:tcPr>
          <w:p>
            <w:pPr>
              <w:keepNext/>
              <w:keepLines/>
              <w:spacing w:after="0"/>
              <w:jc w:val="center"/>
              <w:rPr>
                <w:rFonts w:ascii="Arial" w:hAnsi="Arial"/>
                <w:b/>
                <w:sz w:val="18"/>
              </w:rPr>
            </w:pPr>
            <w:r>
              <w:rPr>
                <w:rFonts w:ascii="Arial" w:hAnsi="Arial"/>
                <w:b/>
                <w:sz w:val="18"/>
              </w:rPr>
              <w:t>TP</w:t>
            </w:r>
          </w:p>
        </w:tc>
        <w:tc>
          <w:tcPr>
            <w:tcW w:w="850" w:type="dxa"/>
            <w:tcBorders>
              <w:bottom w:val="nil"/>
            </w:tcBorders>
            <w:shd w:val="clear" w:color="auto" w:fill="auto"/>
          </w:tcPr>
          <w:p>
            <w:pPr>
              <w:keepNext/>
              <w:keepLines/>
              <w:spacing w:after="0"/>
              <w:jc w:val="center"/>
              <w:rPr>
                <w:rFonts w:ascii="Arial" w:hAnsi="Arial"/>
                <w:b/>
                <w:sz w:val="18"/>
              </w:rPr>
            </w:pPr>
            <w:r>
              <w:rPr>
                <w:rFonts w:ascii="Arial" w:hAnsi="Arial"/>
                <w:b/>
                <w:sz w:val="18"/>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keepNext/>
              <w:keepLines/>
              <w:spacing w:after="0"/>
              <w:jc w:val="center"/>
              <w:rPr>
                <w:rFonts w:ascii="Arial" w:hAnsi="Arial"/>
                <w:b/>
                <w:sz w:val="18"/>
              </w:rPr>
            </w:pPr>
          </w:p>
        </w:tc>
        <w:tc>
          <w:tcPr>
            <w:tcW w:w="3968" w:type="dxa"/>
            <w:shd w:val="clear" w:color="auto" w:fill="auto"/>
          </w:tcPr>
          <w:p>
            <w:pPr>
              <w:keepNext/>
              <w:keepLines/>
              <w:spacing w:after="0"/>
              <w:jc w:val="center"/>
              <w:rPr>
                <w:rFonts w:ascii="Arial" w:hAnsi="Arial"/>
                <w:b/>
                <w:sz w:val="18"/>
              </w:rPr>
            </w:pPr>
          </w:p>
        </w:tc>
        <w:tc>
          <w:tcPr>
            <w:tcW w:w="708" w:type="dxa"/>
            <w:shd w:val="clear" w:color="auto" w:fill="auto"/>
          </w:tcPr>
          <w:p>
            <w:pPr>
              <w:keepNext/>
              <w:keepLines/>
              <w:spacing w:after="0"/>
              <w:jc w:val="center"/>
              <w:rPr>
                <w:rFonts w:ascii="Arial" w:hAnsi="Arial"/>
                <w:b/>
                <w:sz w:val="18"/>
              </w:rPr>
            </w:pPr>
            <w:r>
              <w:rPr>
                <w:rFonts w:ascii="Arial" w:hAnsi="Arial"/>
                <w:b/>
                <w:sz w:val="18"/>
              </w:rPr>
              <w:t>U - S</w:t>
            </w:r>
          </w:p>
        </w:tc>
        <w:tc>
          <w:tcPr>
            <w:tcW w:w="2976" w:type="dxa"/>
            <w:shd w:val="clear" w:color="auto" w:fill="auto"/>
          </w:tcPr>
          <w:p>
            <w:pPr>
              <w:keepNext/>
              <w:keepLines/>
              <w:spacing w:after="0"/>
              <w:jc w:val="center"/>
              <w:rPr>
                <w:rFonts w:ascii="Arial" w:hAnsi="Arial"/>
                <w:b/>
                <w:sz w:val="18"/>
              </w:rPr>
            </w:pPr>
            <w:r>
              <w:rPr>
                <w:rFonts w:ascii="Arial" w:hAnsi="Arial"/>
                <w:b/>
                <w:sz w:val="18"/>
              </w:rPr>
              <w:t>Message</w:t>
            </w:r>
          </w:p>
        </w:tc>
        <w:tc>
          <w:tcPr>
            <w:tcW w:w="567" w:type="dxa"/>
            <w:tcBorders>
              <w:top w:val="nil"/>
            </w:tcBorders>
            <w:shd w:val="clear" w:color="auto" w:fill="auto"/>
          </w:tcPr>
          <w:p>
            <w:pPr>
              <w:keepNext/>
              <w:keepLines/>
              <w:spacing w:after="0"/>
              <w:jc w:val="center"/>
              <w:rPr>
                <w:rFonts w:ascii="Arial" w:hAnsi="Arial"/>
                <w:b/>
                <w:sz w:val="18"/>
              </w:rPr>
            </w:pPr>
          </w:p>
        </w:tc>
        <w:tc>
          <w:tcPr>
            <w:tcW w:w="850" w:type="dxa"/>
            <w:tcBorders>
              <w:top w:val="nil"/>
            </w:tcBorders>
            <w:shd w:val="clear" w:color="auto" w:fill="auto"/>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96"/>
              <w:jc w:val="center"/>
            </w:pPr>
            <w:r>
              <w:t>1</w:t>
            </w:r>
          </w:p>
        </w:tc>
        <w:tc>
          <w:tcPr>
            <w:tcW w:w="3968" w:type="dxa"/>
            <w:shd w:val="clear" w:color="auto" w:fill="auto"/>
          </w:tcPr>
          <w:p>
            <w:pPr>
              <w:pStyle w:val="96"/>
            </w:pPr>
            <w:r>
              <w:t>T</w:t>
            </w:r>
            <w:r>
              <w:rPr>
                <w:lang w:eastAsia="zh-CN"/>
              </w:rPr>
              <w:t>he</w:t>
            </w:r>
            <w:r>
              <w:t xml:space="preserve"> SS adjusts cell levels according to row T</w:t>
            </w:r>
            <w:r>
              <w:rPr>
                <w:lang w:eastAsia="zh-CN"/>
              </w:rPr>
              <w:t xml:space="preserve">1 </w:t>
            </w:r>
            <w:r>
              <w:t>of table 6.5.3.4.3.2-1/2</w:t>
            </w:r>
            <w:r>
              <w:rPr>
                <w:lang w:eastAsia="zh-CN"/>
              </w:rPr>
              <w:t>.</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pPr>
            <w:r>
              <w:t>-</w:t>
            </w:r>
          </w:p>
        </w:tc>
        <w:tc>
          <w:tcPr>
            <w:tcW w:w="567" w:type="dxa"/>
            <w:tcBorders>
              <w:top w:val="nil"/>
            </w:tcBorders>
            <w:shd w:val="clear" w:color="auto" w:fill="auto"/>
          </w:tcPr>
          <w:p>
            <w:pPr>
              <w:pStyle w:val="96"/>
              <w:jc w:val="center"/>
            </w:pPr>
            <w:r>
              <w:t>-</w:t>
            </w:r>
          </w:p>
        </w:tc>
        <w:tc>
          <w:tcPr>
            <w:tcW w:w="850" w:type="dxa"/>
            <w:tcBorders>
              <w:top w:val="nil"/>
            </w:tcBorders>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2</w:t>
            </w:r>
          </w:p>
        </w:tc>
        <w:tc>
          <w:tcPr>
            <w:tcW w:w="3968" w:type="dxa"/>
            <w:shd w:val="clear" w:color="auto" w:fill="auto"/>
          </w:tcPr>
          <w:p>
            <w:pPr>
              <w:pStyle w:val="96"/>
            </w:pPr>
            <w:r>
              <w:t xml:space="preserve">The UE is Switched ON. </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3</w:t>
            </w:r>
          </w:p>
        </w:tc>
        <w:tc>
          <w:tcPr>
            <w:tcW w:w="3968" w:type="dxa"/>
            <w:shd w:val="clear" w:color="auto" w:fill="auto"/>
          </w:tcPr>
          <w:p>
            <w:pPr>
              <w:pStyle w:val="96"/>
            </w:pPr>
            <w:r>
              <w:t xml:space="preserve">Check: Does the UE transmit an </w:t>
            </w:r>
            <w:r>
              <w:rPr>
                <w:i/>
              </w:rPr>
              <w:t>RRCSetupRequest</w:t>
            </w:r>
            <w:r>
              <w:t xml:space="preserve"> on NR Cell 2 within the next 60s?</w:t>
            </w:r>
          </w:p>
        </w:tc>
        <w:tc>
          <w:tcPr>
            <w:tcW w:w="708" w:type="dxa"/>
            <w:shd w:val="clear" w:color="auto" w:fill="auto"/>
            <w:vAlign w:val="center"/>
          </w:tcPr>
          <w:p>
            <w:pPr>
              <w:pStyle w:val="96"/>
              <w:jc w:val="center"/>
            </w:pPr>
            <w:r>
              <w:t>--&gt;</w:t>
            </w:r>
          </w:p>
        </w:tc>
        <w:tc>
          <w:tcPr>
            <w:tcW w:w="2976" w:type="dxa"/>
            <w:shd w:val="clear" w:color="auto" w:fill="auto"/>
            <w:vAlign w:val="center"/>
          </w:tcPr>
          <w:p>
            <w:pPr>
              <w:pStyle w:val="96"/>
              <w:jc w:val="both"/>
            </w:pPr>
            <w:r>
              <w:rPr>
                <w:i/>
              </w:rPr>
              <w:t>NR RRC: RRCSetupRequest</w:t>
            </w:r>
          </w:p>
        </w:tc>
        <w:tc>
          <w:tcPr>
            <w:tcW w:w="567" w:type="dxa"/>
            <w:shd w:val="clear" w:color="auto" w:fill="auto"/>
          </w:tcPr>
          <w:p>
            <w:pPr>
              <w:pStyle w:val="96"/>
              <w:jc w:val="center"/>
            </w:pPr>
            <w:r>
              <w:t>1</w:t>
            </w:r>
          </w:p>
        </w:tc>
        <w:tc>
          <w:tcPr>
            <w:tcW w:w="850" w:type="dxa"/>
            <w:shd w:val="clear" w:color="auto" w:fill="auto"/>
          </w:tcPr>
          <w:p>
            <w:pPr>
              <w:pStyle w:val="96"/>
              <w:jc w:val="cente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4</w:t>
            </w:r>
          </w:p>
        </w:tc>
        <w:tc>
          <w:tcPr>
            <w:tcW w:w="3968" w:type="dxa"/>
            <w:shd w:val="clear" w:color="auto" w:fill="auto"/>
          </w:tcPr>
          <w:p>
            <w:pPr>
              <w:pStyle w:val="96"/>
            </w:pPr>
            <w:r>
              <w:t>The SS adjusts cell levels according to row T2</w:t>
            </w:r>
            <w:r>
              <w:rPr>
                <w:lang w:eastAsia="zh-CN"/>
              </w:rPr>
              <w:t xml:space="preserve"> </w:t>
            </w:r>
            <w:r>
              <w:t>of table 6.5.3.4.3.2-1/2</w:t>
            </w:r>
            <w:r>
              <w:rPr>
                <w:lang w:eastAsia="zh-CN"/>
              </w:rPr>
              <w:t>.</w:t>
            </w:r>
          </w:p>
        </w:tc>
        <w:tc>
          <w:tcPr>
            <w:tcW w:w="708" w:type="dxa"/>
            <w:shd w:val="clear" w:color="auto" w:fill="auto"/>
            <w:vAlign w:val="center"/>
          </w:tcPr>
          <w:p>
            <w:pPr>
              <w:pStyle w:val="96"/>
              <w:jc w:val="center"/>
              <w:rPr>
                <w:lang w:eastAsia="zh-CN"/>
              </w:rPr>
            </w:pPr>
            <w:r>
              <w:rPr>
                <w:lang w:eastAsia="zh-CN"/>
              </w:rPr>
              <w:t>-</w:t>
            </w:r>
          </w:p>
        </w:tc>
        <w:tc>
          <w:tcPr>
            <w:tcW w:w="2976" w:type="dxa"/>
            <w:shd w:val="clear" w:color="auto" w:fill="auto"/>
            <w:vAlign w:val="center"/>
          </w:tcPr>
          <w:p>
            <w:pPr>
              <w:pStyle w:val="96"/>
              <w:jc w:val="both"/>
              <w:rPr>
                <w:lang w:eastAsia="zh-CN"/>
              </w:rPr>
            </w:pPr>
            <w:r>
              <w:rPr>
                <w:lang w:eastAsia="zh-CN"/>
              </w:rPr>
              <w:t>-</w:t>
            </w:r>
          </w:p>
        </w:tc>
        <w:tc>
          <w:tcPr>
            <w:tcW w:w="567" w:type="dxa"/>
            <w:shd w:val="clear" w:color="auto" w:fill="auto"/>
          </w:tcPr>
          <w:p>
            <w:pPr>
              <w:pStyle w:val="96"/>
              <w:jc w:val="center"/>
              <w:rPr>
                <w:lang w:eastAsia="zh-CN"/>
              </w:rPr>
            </w:pPr>
            <w:r>
              <w:rPr>
                <w:lang w:eastAsia="zh-CN"/>
              </w:rPr>
              <w:t>-</w:t>
            </w:r>
          </w:p>
        </w:tc>
        <w:tc>
          <w:tcPr>
            <w:tcW w:w="850" w:type="dxa"/>
            <w:shd w:val="clear" w:color="auto" w:fill="auto"/>
          </w:tcPr>
          <w:p>
            <w:pPr>
              <w:pStyle w:val="96"/>
              <w:jc w:val="center"/>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5</w:t>
            </w:r>
          </w:p>
        </w:tc>
        <w:tc>
          <w:tcPr>
            <w:tcW w:w="3968" w:type="dxa"/>
            <w:shd w:val="clear" w:color="auto" w:fill="auto"/>
          </w:tcPr>
          <w:p>
            <w:pPr>
              <w:pStyle w:val="96"/>
            </w:pPr>
            <w:r>
              <w:t xml:space="preserve">Check: Does the UE send a </w:t>
            </w:r>
            <w:r>
              <w:rPr>
                <w:i/>
              </w:rPr>
              <w:t>RRCSetupRequest</w:t>
            </w:r>
            <w:r>
              <w:t xml:space="preserve"> on NR Cell 1?</w:t>
            </w:r>
          </w:p>
        </w:tc>
        <w:tc>
          <w:tcPr>
            <w:tcW w:w="708" w:type="dxa"/>
            <w:shd w:val="clear" w:color="auto" w:fill="auto"/>
            <w:vAlign w:val="center"/>
          </w:tcPr>
          <w:p>
            <w:pPr>
              <w:pStyle w:val="96"/>
              <w:jc w:val="center"/>
            </w:pPr>
            <w:r>
              <w:t>--&gt;</w:t>
            </w:r>
          </w:p>
        </w:tc>
        <w:tc>
          <w:tcPr>
            <w:tcW w:w="2976" w:type="dxa"/>
            <w:shd w:val="clear" w:color="auto" w:fill="auto"/>
            <w:vAlign w:val="center"/>
          </w:tcPr>
          <w:p>
            <w:pPr>
              <w:pStyle w:val="96"/>
              <w:jc w:val="both"/>
            </w:pPr>
            <w:r>
              <w:rPr>
                <w:i/>
              </w:rPr>
              <w:t>NR RRC: RRCSetupRequest</w:t>
            </w:r>
          </w:p>
        </w:tc>
        <w:tc>
          <w:tcPr>
            <w:tcW w:w="567" w:type="dxa"/>
            <w:shd w:val="clear" w:color="auto" w:fill="auto"/>
          </w:tcPr>
          <w:p>
            <w:pPr>
              <w:pStyle w:val="96"/>
              <w:jc w:val="center"/>
            </w:pPr>
            <w:r>
              <w:t>1</w:t>
            </w:r>
          </w:p>
        </w:tc>
        <w:tc>
          <w:tcPr>
            <w:tcW w:w="850" w:type="dxa"/>
            <w:shd w:val="clear" w:color="auto" w:fill="auto"/>
          </w:tcPr>
          <w:p>
            <w:pPr>
              <w:pStyle w:val="96"/>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6-16</w:t>
            </w:r>
          </w:p>
        </w:tc>
        <w:tc>
          <w:tcPr>
            <w:tcW w:w="3968" w:type="dxa"/>
            <w:shd w:val="clear" w:color="auto" w:fill="auto"/>
          </w:tcPr>
          <w:p>
            <w:pPr>
              <w:pStyle w:val="96"/>
            </w:pPr>
            <w:r>
              <w:rPr>
                <w:lang w:eastAsia="zh-CN"/>
              </w:rPr>
              <w:t>Steps 3-13 of Table 4.5.2.2-2 in TS 38.508-1</w:t>
            </w:r>
            <w:ins w:id="17" w:author="Xu Jiali, ZTE" w:date="2024-10-29T09:59:54Z">
              <w:r>
                <w:rPr>
                  <w:rFonts w:hint="eastAsia"/>
                  <w:lang w:val="en-US" w:eastAsia="zh-CN"/>
                </w:rPr>
                <w:t xml:space="preserve"> [</w:t>
              </w:r>
            </w:ins>
            <w:ins w:id="18" w:author="Xu Jiali, ZTE" w:date="2024-10-29T09:59:55Z">
              <w:r>
                <w:rPr>
                  <w:rFonts w:hint="eastAsia"/>
                  <w:lang w:val="en-US" w:eastAsia="zh-CN"/>
                </w:rPr>
                <w:t>4</w:t>
              </w:r>
            </w:ins>
            <w:ins w:id="19" w:author="Xu Jiali, ZTE" w:date="2024-10-29T09:59:54Z">
              <w:r>
                <w:rPr>
                  <w:rFonts w:hint="eastAsia"/>
                  <w:lang w:val="en-US" w:eastAsia="zh-CN"/>
                </w:rPr>
                <w:t>]</w:t>
              </w:r>
            </w:ins>
            <w:r>
              <w:rPr>
                <w:lang w:eastAsia="zh-CN"/>
              </w:rPr>
              <w:t xml:space="preserve"> are</w:t>
            </w:r>
            <w:r>
              <w:t xml:space="preserve"> </w:t>
            </w:r>
            <w:r>
              <w:rPr>
                <w:lang w:eastAsia="zh-CN"/>
              </w:rPr>
              <w:t>performed</w:t>
            </w:r>
            <w:r>
              <w:rPr>
                <w:kern w:val="2"/>
              </w:rPr>
              <w:t xml:space="preserve"> on N</w:t>
            </w:r>
            <w:r>
              <w:rPr>
                <w:kern w:val="2"/>
                <w:lang w:eastAsia="zh-CN"/>
              </w:rPr>
              <w:t>R Cell 1</w:t>
            </w:r>
            <w:r>
              <w:rPr>
                <w:lang w:eastAsia="zh-CN"/>
              </w:rPr>
              <w:t>.</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pPr>
            <w: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zh-CN"/>
              </w:rPr>
            </w:pPr>
            <w:r>
              <w:rPr>
                <w:lang w:eastAsia="zh-CN"/>
              </w:rPr>
              <w:t>17</w:t>
            </w:r>
          </w:p>
        </w:tc>
        <w:tc>
          <w:tcPr>
            <w:tcW w:w="3968" w:type="dxa"/>
            <w:shd w:val="clear" w:color="auto" w:fill="auto"/>
          </w:tcPr>
          <w:p>
            <w:pPr>
              <w:pStyle w:val="96"/>
            </w:pPr>
            <w:r>
              <w:t>The SS transmits a REGISTRATION REJECT with cause #</w:t>
            </w:r>
            <w:r>
              <w:rPr>
                <w:lang w:eastAsia="zh-CN"/>
              </w:rPr>
              <w:t>74</w:t>
            </w:r>
            <w:r>
              <w:t xml:space="preserve"> (Temporarily not authorized for this SNPN).</w:t>
            </w:r>
          </w:p>
        </w:tc>
        <w:tc>
          <w:tcPr>
            <w:tcW w:w="708" w:type="dxa"/>
            <w:shd w:val="clear" w:color="auto" w:fill="auto"/>
            <w:vAlign w:val="center"/>
          </w:tcPr>
          <w:p>
            <w:pPr>
              <w:pStyle w:val="96"/>
              <w:jc w:val="center"/>
            </w:pPr>
            <w:r>
              <w:t>&lt;--</w:t>
            </w:r>
          </w:p>
        </w:tc>
        <w:tc>
          <w:tcPr>
            <w:tcW w:w="2976" w:type="dxa"/>
            <w:shd w:val="clear" w:color="auto" w:fill="auto"/>
            <w:vAlign w:val="center"/>
          </w:tcPr>
          <w:p>
            <w:pPr>
              <w:pStyle w:val="96"/>
              <w:jc w:val="both"/>
            </w:pPr>
            <w:r>
              <w:t xml:space="preserve">NR RRC: </w:t>
            </w:r>
            <w:r>
              <w:rPr>
                <w:i/>
              </w:rPr>
              <w:t>DLInformationTransfer</w:t>
            </w:r>
          </w:p>
          <w:p>
            <w:pPr>
              <w:pStyle w:val="96"/>
              <w:jc w:val="both"/>
            </w:pPr>
            <w:r>
              <w:t>5GMM: REGISTRATION REJECT</w:t>
            </w:r>
          </w:p>
        </w:tc>
        <w:tc>
          <w:tcPr>
            <w:tcW w:w="567" w:type="dxa"/>
            <w:shd w:val="clear" w:color="auto" w:fill="auto"/>
            <w:vAlign w:val="center"/>
          </w:tcPr>
          <w:p>
            <w:pPr>
              <w:pStyle w:val="96"/>
              <w:jc w:val="center"/>
            </w:pPr>
            <w:r>
              <w:t>-</w:t>
            </w:r>
          </w:p>
        </w:tc>
        <w:tc>
          <w:tcPr>
            <w:tcW w:w="850" w:type="dxa"/>
            <w:shd w:val="clear" w:color="auto" w:fill="auto"/>
            <w:vAlign w:val="center"/>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zh-CN"/>
              </w:rPr>
            </w:pPr>
            <w:r>
              <w:rPr>
                <w:lang w:eastAsia="zh-CN"/>
              </w:rPr>
              <w:t>18</w:t>
            </w:r>
          </w:p>
        </w:tc>
        <w:tc>
          <w:tcPr>
            <w:tcW w:w="3968" w:type="dxa"/>
            <w:shd w:val="clear" w:color="auto" w:fill="auto"/>
          </w:tcPr>
          <w:p>
            <w:pPr>
              <w:pStyle w:val="96"/>
            </w:pPr>
            <w:r>
              <w:t>The SS releases the RRC connection.</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pPr>
            <w:r>
              <w:t>-</w:t>
            </w:r>
          </w:p>
        </w:tc>
        <w:tc>
          <w:tcPr>
            <w:tcW w:w="567" w:type="dxa"/>
            <w:shd w:val="clear" w:color="auto" w:fill="auto"/>
            <w:vAlign w:val="center"/>
          </w:tcPr>
          <w:p>
            <w:pPr>
              <w:pStyle w:val="96"/>
              <w:jc w:val="center"/>
            </w:pPr>
            <w:r>
              <w:t>-</w:t>
            </w:r>
          </w:p>
        </w:tc>
        <w:tc>
          <w:tcPr>
            <w:tcW w:w="850" w:type="dxa"/>
            <w:shd w:val="clear" w:color="auto" w:fill="auto"/>
            <w:vAlign w:val="center"/>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zh-CN"/>
              </w:rPr>
            </w:pPr>
            <w:r>
              <w:rPr>
                <w:lang w:eastAsia="zh-CN"/>
              </w:rPr>
              <w:t>19</w:t>
            </w:r>
          </w:p>
        </w:tc>
        <w:tc>
          <w:tcPr>
            <w:tcW w:w="3968" w:type="dxa"/>
            <w:shd w:val="clear" w:color="auto" w:fill="auto"/>
          </w:tcPr>
          <w:p>
            <w:pPr>
              <w:pStyle w:val="96"/>
            </w:pPr>
            <w:r>
              <w:t>The SS adjusts cell levels according to row T3 of table 6.5.3.4.3.2-1/2</w:t>
            </w:r>
            <w:r>
              <w:rPr>
                <w:lang w:eastAsia="zh-CN"/>
              </w:rPr>
              <w:t>.</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pPr>
            <w:r>
              <w:t>-</w:t>
            </w:r>
          </w:p>
        </w:tc>
        <w:tc>
          <w:tcPr>
            <w:tcW w:w="567" w:type="dxa"/>
            <w:shd w:val="clear" w:color="auto" w:fill="auto"/>
            <w:vAlign w:val="center"/>
          </w:tcPr>
          <w:p>
            <w:pPr>
              <w:pStyle w:val="96"/>
              <w:jc w:val="center"/>
            </w:pPr>
            <w:r>
              <w:t>-</w:t>
            </w:r>
          </w:p>
        </w:tc>
        <w:tc>
          <w:tcPr>
            <w:tcW w:w="850" w:type="dxa"/>
            <w:shd w:val="clear" w:color="auto" w:fill="auto"/>
            <w:vAlign w:val="center"/>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zh-CN"/>
              </w:rPr>
            </w:pPr>
            <w:r>
              <w:rPr>
                <w:lang w:eastAsia="zh-CN"/>
              </w:rPr>
              <w:t>20</w:t>
            </w:r>
          </w:p>
        </w:tc>
        <w:tc>
          <w:tcPr>
            <w:tcW w:w="3968" w:type="dxa"/>
            <w:shd w:val="clear" w:color="auto" w:fill="auto"/>
          </w:tcPr>
          <w:p>
            <w:pPr>
              <w:pStyle w:val="96"/>
            </w:pPr>
            <w:r>
              <w:t xml:space="preserve">Check: Does the UE send a </w:t>
            </w:r>
            <w:r>
              <w:rPr>
                <w:i/>
              </w:rPr>
              <w:t>RRCSetupRequest</w:t>
            </w:r>
            <w:r>
              <w:t xml:space="preserve"> on NR Cell 3?</w:t>
            </w:r>
          </w:p>
        </w:tc>
        <w:tc>
          <w:tcPr>
            <w:tcW w:w="708" w:type="dxa"/>
            <w:shd w:val="clear" w:color="auto" w:fill="auto"/>
            <w:vAlign w:val="center"/>
          </w:tcPr>
          <w:p>
            <w:pPr>
              <w:pStyle w:val="96"/>
              <w:jc w:val="center"/>
            </w:pPr>
            <w:r>
              <w:t>--&gt;</w:t>
            </w:r>
          </w:p>
        </w:tc>
        <w:tc>
          <w:tcPr>
            <w:tcW w:w="2976" w:type="dxa"/>
            <w:shd w:val="clear" w:color="auto" w:fill="auto"/>
            <w:vAlign w:val="center"/>
          </w:tcPr>
          <w:p>
            <w:pPr>
              <w:pStyle w:val="96"/>
              <w:jc w:val="both"/>
            </w:pPr>
            <w:r>
              <w:rPr>
                <w:i/>
              </w:rPr>
              <w:t>NR RRC: RRCSetupRequest</w:t>
            </w:r>
          </w:p>
        </w:tc>
        <w:tc>
          <w:tcPr>
            <w:tcW w:w="567" w:type="dxa"/>
            <w:shd w:val="clear" w:color="auto" w:fill="auto"/>
            <w:vAlign w:val="center"/>
          </w:tcPr>
          <w:p>
            <w:pPr>
              <w:pStyle w:val="96"/>
              <w:jc w:val="center"/>
            </w:pPr>
            <w:r>
              <w:t>2</w:t>
            </w:r>
          </w:p>
        </w:tc>
        <w:tc>
          <w:tcPr>
            <w:tcW w:w="850" w:type="dxa"/>
            <w:shd w:val="clear" w:color="auto" w:fill="auto"/>
            <w:vAlign w:val="center"/>
          </w:tcPr>
          <w:p>
            <w:pPr>
              <w:pStyle w:val="96"/>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rFonts w:hint="default"/>
                <w:lang w:val="en-US" w:eastAsia="zh-CN"/>
              </w:rPr>
            </w:pPr>
            <w:r>
              <w:rPr>
                <w:lang w:eastAsia="zh-CN"/>
              </w:rPr>
              <w:t>21-38</w:t>
            </w:r>
            <w:ins w:id="20" w:author="Xu Jiali, ZTE" w:date="2024-10-29T09:59:58Z">
              <w:r>
                <w:rPr>
                  <w:rFonts w:hint="eastAsia"/>
                  <w:lang w:val="en-US" w:eastAsia="zh-CN"/>
                </w:rPr>
                <w:t>a1</w:t>
              </w:r>
            </w:ins>
          </w:p>
        </w:tc>
        <w:tc>
          <w:tcPr>
            <w:tcW w:w="3968" w:type="dxa"/>
            <w:shd w:val="clear" w:color="auto" w:fill="auto"/>
          </w:tcPr>
          <w:p>
            <w:pPr>
              <w:pStyle w:val="96"/>
              <w:rPr>
                <w:lang w:eastAsia="zh-CN"/>
              </w:rPr>
            </w:pPr>
            <w:r>
              <w:t xml:space="preserve">Steps 3 to 20a1 </w:t>
            </w:r>
            <w:r>
              <w:rPr>
                <w:rFonts w:cs="Arial"/>
                <w:szCs w:val="18"/>
              </w:rPr>
              <w:t>of Table 4.5.2.2-2 of the generic procedure in</w:t>
            </w:r>
            <w:r>
              <w:t xml:space="preserve"> TS 38.508-1</w:t>
            </w:r>
            <w:ins w:id="21" w:author="Xu Jiali, ZTE" w:date="2024-10-29T10:00:02Z">
              <w:r>
                <w:rPr>
                  <w:rFonts w:hint="eastAsia" w:eastAsia="宋体"/>
                  <w:lang w:val="en-US" w:eastAsia="zh-CN"/>
                </w:rPr>
                <w:t xml:space="preserve"> [</w:t>
              </w:r>
            </w:ins>
            <w:ins w:id="22" w:author="Xu Jiali, ZTE" w:date="2024-10-29T10:00:03Z">
              <w:r>
                <w:rPr>
                  <w:rFonts w:hint="eastAsia" w:eastAsia="宋体"/>
                  <w:lang w:val="en-US" w:eastAsia="zh-CN"/>
                </w:rPr>
                <w:t>4</w:t>
              </w:r>
            </w:ins>
            <w:ins w:id="23" w:author="Xu Jiali, ZTE" w:date="2024-10-29T10:00:02Z">
              <w:r>
                <w:rPr>
                  <w:rFonts w:hint="eastAsia" w:eastAsia="宋体"/>
                  <w:lang w:val="en-US" w:eastAsia="zh-CN"/>
                </w:rPr>
                <w:t>]</w:t>
              </w:r>
            </w:ins>
            <w:r>
              <w:t xml:space="preserve"> are performed on NR Cell 3.</w:t>
            </w:r>
          </w:p>
          <w:p>
            <w:pPr>
              <w:pStyle w:val="96"/>
            </w:pPr>
            <w:r>
              <w:t>NOTE: The UE performs registration and the RRC connection is released.</w:t>
            </w:r>
          </w:p>
        </w:tc>
        <w:tc>
          <w:tcPr>
            <w:tcW w:w="708" w:type="dxa"/>
            <w:shd w:val="clear" w:color="auto" w:fill="auto"/>
            <w:vAlign w:val="center"/>
          </w:tcPr>
          <w:p>
            <w:pPr>
              <w:pStyle w:val="96"/>
              <w:jc w:val="center"/>
            </w:pPr>
            <w:r>
              <w:t>-</w:t>
            </w:r>
          </w:p>
        </w:tc>
        <w:tc>
          <w:tcPr>
            <w:tcW w:w="2976" w:type="dxa"/>
            <w:shd w:val="clear" w:color="auto" w:fill="auto"/>
            <w:vAlign w:val="center"/>
          </w:tcPr>
          <w:p>
            <w:pPr>
              <w:pStyle w:val="96"/>
              <w:jc w:val="both"/>
              <w:rPr>
                <w:i/>
              </w:rPr>
            </w:pPr>
            <w:r>
              <w:t>-</w:t>
            </w:r>
          </w:p>
        </w:tc>
        <w:tc>
          <w:tcPr>
            <w:tcW w:w="567" w:type="dxa"/>
            <w:shd w:val="clear" w:color="auto" w:fill="auto"/>
            <w:vAlign w:val="center"/>
          </w:tcPr>
          <w:p>
            <w:pPr>
              <w:pStyle w:val="96"/>
              <w:jc w:val="center"/>
            </w:pPr>
            <w:r>
              <w:t>-</w:t>
            </w:r>
          </w:p>
        </w:tc>
        <w:tc>
          <w:tcPr>
            <w:tcW w:w="850" w:type="dxa"/>
            <w:shd w:val="clear" w:color="auto" w:fill="auto"/>
            <w:vAlign w:val="center"/>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96"/>
            </w:pPr>
            <w:r>
              <w:t>NOTE 1: This is performed via MMI or AT command.</w:t>
            </w:r>
          </w:p>
        </w:tc>
      </w:tr>
    </w:tbl>
    <w:p>
      <w:pPr>
        <w:rPr>
          <w:snapToGrid w:val="0"/>
        </w:rPr>
      </w:pPr>
    </w:p>
    <w:p>
      <w:pPr>
        <w:pStyle w:val="8"/>
      </w:pPr>
      <w:r>
        <w:t>6.5.3.4.3.3</w:t>
      </w:r>
      <w:r>
        <w:tab/>
      </w:r>
      <w:r>
        <w:t>Specific message contents</w:t>
      </w:r>
    </w:p>
    <w:p>
      <w:pPr>
        <w:pStyle w:val="112"/>
      </w:pPr>
      <w:r>
        <w:t>Table 6.5.3.4.3.3-1: REGISTRATION REQUEST (step 7, Table 6.5.3.4.3.2-3)</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96"/>
            </w:pPr>
            <w:r>
              <w:t>Derivation path: TS 38.508-1 [4], Table 4.7.1-6 with condition SNPN_ONBOARDING</w:t>
            </w:r>
          </w:p>
        </w:tc>
      </w:tr>
    </w:tbl>
    <w:p/>
    <w:p>
      <w:pPr>
        <w:pStyle w:val="112"/>
      </w:pPr>
      <w:r>
        <w:t>Table 6.5.3.4.3.3-2: REGISTRATION REJECT (step 17, Table 6.5.3.4.3.2-3)</w:t>
      </w:r>
    </w:p>
    <w:tbl>
      <w:tblPr>
        <w:tblStyle w:val="61"/>
        <w:tblW w:w="945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01"/>
        <w:gridCol w:w="2197"/>
        <w:gridCol w:w="1650"/>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8" w:type="dxa"/>
            <w:gridSpan w:val="4"/>
          </w:tcPr>
          <w:p>
            <w:pPr>
              <w:pStyle w:val="96"/>
            </w:pPr>
            <w:r>
              <w:t>Derivation Path: TS 38.508-1 [4], Table 4.7.1-9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98"/>
            </w:pPr>
            <w:r>
              <w:t>Information Element</w:t>
            </w:r>
          </w:p>
        </w:tc>
        <w:tc>
          <w:tcPr>
            <w:tcW w:w="2197" w:type="dxa"/>
          </w:tcPr>
          <w:p>
            <w:pPr>
              <w:pStyle w:val="98"/>
            </w:pPr>
            <w:r>
              <w:t>Value/remark</w:t>
            </w:r>
          </w:p>
        </w:tc>
        <w:tc>
          <w:tcPr>
            <w:tcW w:w="1650" w:type="dxa"/>
          </w:tcPr>
          <w:p>
            <w:pPr>
              <w:pStyle w:val="98"/>
            </w:pPr>
            <w:r>
              <w:t>Comment</w:t>
            </w:r>
          </w:p>
        </w:tc>
        <w:tc>
          <w:tcPr>
            <w:tcW w:w="1210"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96"/>
            </w:pPr>
            <w:r>
              <w:rPr>
                <w:szCs w:val="22"/>
              </w:rPr>
              <w:t>5GMM cause</w:t>
            </w:r>
          </w:p>
        </w:tc>
        <w:tc>
          <w:tcPr>
            <w:tcW w:w="2197" w:type="dxa"/>
          </w:tcPr>
          <w:p>
            <w:pPr>
              <w:pStyle w:val="96"/>
              <w:rPr>
                <w:b/>
              </w:rPr>
            </w:pPr>
            <w:r>
              <w:rPr>
                <w:szCs w:val="22"/>
              </w:rPr>
              <w:t xml:space="preserve">‘01001010’B </w:t>
            </w:r>
          </w:p>
        </w:tc>
        <w:tc>
          <w:tcPr>
            <w:tcW w:w="1650" w:type="dxa"/>
          </w:tcPr>
          <w:p>
            <w:pPr>
              <w:pStyle w:val="96"/>
              <w:rPr>
                <w:b/>
              </w:rPr>
            </w:pPr>
            <w:r>
              <w:t>#74 (Temporarily not authorized for this SNPN).</w:t>
            </w:r>
          </w:p>
        </w:tc>
        <w:tc>
          <w:tcPr>
            <w:tcW w:w="1210" w:type="dxa"/>
          </w:tcPr>
          <w:p>
            <w:pPr>
              <w:pStyle w:val="96"/>
              <w:rPr>
                <w:b/>
              </w:rPr>
            </w:pPr>
          </w:p>
        </w:tc>
      </w:tr>
    </w:tbl>
    <w:p/>
    <w:p>
      <w:pPr>
        <w:pStyle w:val="5"/>
      </w:pPr>
      <w:r>
        <w:t>6.5.3.5</w:t>
      </w:r>
      <w:r>
        <w:tab/>
      </w:r>
      <w:r>
        <w:t>SNPN Selection in Automatic Mode / Using credentials from a credentials holder</w:t>
      </w:r>
    </w:p>
    <w:p>
      <w:pPr>
        <w:pStyle w:val="8"/>
      </w:pPr>
      <w:r>
        <w:t>6.5.3.5.1</w:t>
      </w:r>
      <w:r>
        <w:tab/>
      </w:r>
      <w:r>
        <w:t>Test Purpose (TP)</w:t>
      </w:r>
    </w:p>
    <w:p>
      <w:pPr>
        <w:pStyle w:val="8"/>
      </w:pPr>
      <w:r>
        <w:t>(1)</w:t>
      </w:r>
    </w:p>
    <w:p>
      <w:pPr>
        <w:pStyle w:val="93"/>
      </w:pPr>
      <w:r>
        <w:rPr>
          <w:b/>
          <w:bCs/>
        </w:rPr>
        <w:t>with { UE</w:t>
      </w:r>
      <w:r>
        <w:t xml:space="preserve"> in Automatic network selection mode and supports access to an SNPN using credentials from a credentials holder, using the SNPN selection parameters in the selected entry of the "list of subscriber data" }</w:t>
      </w:r>
    </w:p>
    <w:p>
      <w:pPr>
        <w:pStyle w:val="93"/>
      </w:pPr>
      <w:r>
        <w:t>ensure that {</w:t>
      </w:r>
    </w:p>
    <w:p>
      <w:pPr>
        <w:pStyle w:val="93"/>
      </w:pPr>
      <w:r>
        <w:rPr>
          <w:b/>
          <w:bCs/>
        </w:rPr>
        <w:t xml:space="preserve">  when </w:t>
      </w:r>
      <w:r>
        <w:t>{ SNPNs are available which broadcast the indication that access using credentials from a credentials holder is supported }</w:t>
      </w:r>
    </w:p>
    <w:p>
      <w:pPr>
        <w:pStyle w:val="93"/>
      </w:pPr>
      <w:r>
        <w:rPr>
          <w:b/>
          <w:bCs/>
        </w:rPr>
        <w:t xml:space="preserve">    then </w:t>
      </w:r>
      <w:r>
        <w:t xml:space="preserve">{ UE selects a cell of the highest priority SNPN and UE attempts a registration on the selected cell } </w:t>
      </w:r>
    </w:p>
    <w:p>
      <w:pPr>
        <w:pStyle w:val="93"/>
      </w:pPr>
      <w:r>
        <w:t xml:space="preserve">            }</w:t>
      </w:r>
    </w:p>
    <w:p>
      <w:pPr>
        <w:pStyle w:val="93"/>
        <w:rPr>
          <w:rFonts w:eastAsia="MS Gothic"/>
        </w:rPr>
      </w:pPr>
    </w:p>
    <w:p>
      <w:pPr>
        <w:pStyle w:val="8"/>
      </w:pPr>
      <w:r>
        <w:t>(2)</w:t>
      </w:r>
    </w:p>
    <w:p>
      <w:pPr>
        <w:pStyle w:val="93"/>
      </w:pPr>
      <w:r>
        <w:rPr>
          <w:b/>
          <w:bCs/>
        </w:rPr>
        <w:t>with { UE</w:t>
      </w:r>
      <w:r>
        <w:t xml:space="preserve"> in Automatic network selection mode and supports access to an SNPN using credentials from a credentials holder, using the SNPN selection parameters in the selected entry of the "list of subscriber data" }</w:t>
      </w:r>
    </w:p>
    <w:p>
      <w:pPr>
        <w:pStyle w:val="93"/>
      </w:pPr>
      <w:r>
        <w:t>ensure that {</w:t>
      </w:r>
    </w:p>
    <w:p>
      <w:pPr>
        <w:pStyle w:val="93"/>
      </w:pPr>
      <w:r>
        <w:rPr>
          <w:b/>
          <w:bCs/>
        </w:rPr>
        <w:t xml:space="preserve">  when </w:t>
      </w:r>
      <w:r>
        <w:t>{ SNPNs are available which broadcast the indication that access using credentials from a credentials holder is supported highest priority SNPN is not available}</w:t>
      </w:r>
    </w:p>
    <w:p>
      <w:pPr>
        <w:pStyle w:val="93"/>
      </w:pPr>
      <w:r>
        <w:rPr>
          <w:b/>
          <w:bCs/>
        </w:rPr>
        <w:t xml:space="preserve">    then </w:t>
      </w:r>
      <w:r>
        <w:t xml:space="preserve">{ UE selects a cell of the next priority available SNPN and UE attempts a registration on the selected cell } </w:t>
      </w:r>
    </w:p>
    <w:p>
      <w:pPr>
        <w:pStyle w:val="93"/>
      </w:pPr>
      <w:r>
        <w:t xml:space="preserve">            }</w:t>
      </w:r>
    </w:p>
    <w:p>
      <w:pPr>
        <w:pStyle w:val="93"/>
        <w:rPr>
          <w:rFonts w:eastAsia="MS Gothic"/>
        </w:rPr>
      </w:pPr>
    </w:p>
    <w:p>
      <w:pPr>
        <w:pStyle w:val="8"/>
      </w:pPr>
      <w:r>
        <w:t>6.5.3.5.2</w:t>
      </w:r>
      <w:r>
        <w:tab/>
      </w:r>
      <w:r>
        <w:t>Conformance requirements</w:t>
      </w:r>
    </w:p>
    <w:p>
      <w:pPr>
        <w:overflowPunct/>
        <w:autoSpaceDE/>
        <w:adjustRightInd/>
        <w:rPr>
          <w:lang w:eastAsia="en-US"/>
        </w:rPr>
      </w:pPr>
      <w:r>
        <w:rPr>
          <w:lang w:eastAsia="en-US"/>
        </w:rPr>
        <w:t>References: The conformance requirements covered in the current TC are specified in: TS 23.122, cl 4.9.3.1.1. Unless otherwise stated these are Rel-17 requirements.</w:t>
      </w:r>
    </w:p>
    <w:p>
      <w:pPr>
        <w:overflowPunct/>
        <w:autoSpaceDE/>
        <w:adjustRightInd/>
        <w:rPr>
          <w:lang w:eastAsia="en-US"/>
        </w:rPr>
      </w:pPr>
      <w:r>
        <w:rPr>
          <w:lang w:eastAsia="en-US"/>
        </w:rPr>
        <w:t>[TS 23.122, clause 4.9.3.1.1]</w:t>
      </w:r>
    </w:p>
    <w:p>
      <w:r>
        <w:t>If:</w:t>
      </w:r>
    </w:p>
    <w:p>
      <w:pPr>
        <w:pStyle w:val="108"/>
      </w:pPr>
      <w:r>
        <w:t>-</w:t>
      </w:r>
      <w:r>
        <w:tab/>
      </w:r>
      <w:r>
        <w:t xml:space="preserve">there is at least one entry in the </w:t>
      </w:r>
      <w:r>
        <w:rPr>
          <w:lang w:eastAsia="ja-JP"/>
        </w:rPr>
        <w:t xml:space="preserve">"list of </w:t>
      </w:r>
      <w:r>
        <w:t>subscriber data"; or</w:t>
      </w:r>
    </w:p>
    <w:p>
      <w:pPr>
        <w:pStyle w:val="108"/>
      </w:pPr>
      <w:r>
        <w:t>-</w:t>
      </w:r>
      <w:r>
        <w:tab/>
      </w:r>
      <w:r>
        <w:t xml:space="preserve">there is zero or more entries in the </w:t>
      </w:r>
      <w:r>
        <w:rPr>
          <w:lang w:eastAsia="ja-JP"/>
        </w:rPr>
        <w:t xml:space="preserve">"list of </w:t>
      </w:r>
      <w:r>
        <w:t>subscriber data", the MS has a USIM with a PLMN subscription and the ME is provisioned with the SNPN selection parameters associated with the PLMN subscription,</w:t>
      </w:r>
    </w:p>
    <w:p>
      <w:r>
        <w:t xml:space="preserve">the MS shall select one entry in the </w:t>
      </w:r>
      <w:r>
        <w:rPr>
          <w:lang w:eastAsia="ja-JP"/>
        </w:rPr>
        <w:t xml:space="preserve">"list of </w:t>
      </w:r>
      <w:r>
        <w:t xml:space="preserve">subscriber data", if any, or the PLMN subscription, if any, to be used for automatic SNPN selection. How the MS selects the entry in the </w:t>
      </w:r>
      <w:r>
        <w:rPr>
          <w:lang w:eastAsia="ja-JP"/>
        </w:rPr>
        <w:t xml:space="preserve">"list of </w:t>
      </w:r>
      <w:r>
        <w:t>subscriber data" or the PLMN subscription is MS implementation specific.</w:t>
      </w:r>
    </w:p>
    <w:p>
      <w:r>
        <w:t>The MS selects an SNPN, if available and allowable, in the following order:</w:t>
      </w:r>
    </w:p>
    <w:p>
      <w:pPr>
        <w:pStyle w:val="108"/>
      </w:pPr>
      <w:r>
        <w:t>a)</w:t>
      </w:r>
      <w:r>
        <w:tab/>
      </w:r>
      <w:r>
        <w:t>the SNPN with which the UE was last registered;</w:t>
      </w:r>
    </w:p>
    <w:p>
      <w:pPr>
        <w:pStyle w:val="108"/>
      </w:pPr>
      <w:r>
        <w:t>b)</w:t>
      </w:r>
      <w:r>
        <w:tab/>
      </w:r>
      <w:r>
        <w:t xml:space="preserve">the SNPN identified by an SNPN identity of the subscribed SNPN in the selected entry of the </w:t>
      </w:r>
      <w:r>
        <w:rPr>
          <w:lang w:eastAsia="ja-JP"/>
        </w:rPr>
        <w:t xml:space="preserve">"list of </w:t>
      </w:r>
      <w:r>
        <w:t>subscriber data" in the ME, if any;</w:t>
      </w:r>
    </w:p>
    <w:p>
      <w:pPr>
        <w:pStyle w:val="108"/>
      </w:pPr>
      <w:r>
        <w:t>c)</w:t>
      </w:r>
      <w:r>
        <w:tab/>
      </w:r>
      <w:r>
        <w:t xml:space="preserve">if the MS supports access to an SNPN using credentials from a credentials holder, using the SNPN selection parameters in the selected entry of the </w:t>
      </w:r>
      <w:r>
        <w:rPr>
          <w:lang w:eastAsia="ja-JP"/>
        </w:rPr>
        <w:t xml:space="preserve">"list of </w:t>
      </w:r>
      <w:r>
        <w:t>subscriber data" or associated with the selected PLMN subscription:</w:t>
      </w:r>
    </w:p>
    <w:p>
      <w:pPr>
        <w:pStyle w:val="122"/>
      </w:pPr>
      <w:r>
        <w:t>1)</w:t>
      </w:r>
      <w:r>
        <w:tab/>
      </w:r>
      <w:r>
        <w:t>each SNPN which broadcasts the indication that access using credentials from a credentials holder is supported and which is identified by an SNPN identity contained in the user controlled prioritized list of preferred SNPNs (in priority order);</w:t>
      </w:r>
    </w:p>
    <w:p>
      <w:pPr>
        <w:pStyle w:val="122"/>
      </w:pPr>
      <w:r>
        <w:t>2)</w:t>
      </w:r>
      <w:r>
        <w:tab/>
      </w:r>
      <w:r>
        <w:t>each SNPN which broadcasts the indication that access using credentials from a credentials holder is supported and which is identified by an SNPN identity contained in the credentials holder controlled prioritized list of preferred SNPNs (in priority order);</w:t>
      </w:r>
    </w:p>
    <w:p>
      <w:pPr>
        <w:pStyle w:val="122"/>
      </w:pPr>
      <w:r>
        <w:t>3)</w:t>
      </w:r>
      <w:r>
        <w:tab/>
      </w:r>
      <w:r>
        <w:t>each SNPN which broadcasts the indication that access using credentials from a credentials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pPr>
        <w:pStyle w:val="122"/>
      </w:pPr>
      <w:r>
        <w:t>4)</w:t>
      </w:r>
      <w:r>
        <w:tab/>
      </w:r>
      <w:r>
        <w:t>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that the SNPN allows registration attempts from MSs that are not explicitly configured to select the SNPN. If more than one such SNPN is available, the order in which the MS attempts registration on those SNPNs is MS implementation specific.</w:t>
      </w:r>
    </w:p>
    <w:p>
      <w:r>
        <w:t>The MS shall limit its search for the SNPN to the NG-RAN access technology.</w:t>
      </w:r>
    </w:p>
    <w:p>
      <w:r>
        <w:t xml:space="preserve">Once the MS selects the SNPN, the MS attempts registrations on the selected SNPN using the NG-RAN access technology, the subscriber identifier and the credentials from the selected entry of the </w:t>
      </w:r>
      <w:r>
        <w:rPr>
          <w:lang w:eastAsia="ja-JP"/>
        </w:rPr>
        <w:t xml:space="preserve">"list of </w:t>
      </w:r>
      <w:r>
        <w:t>subscriber data" or from the USIM, if the PLMN subscription is selected.</w:t>
      </w:r>
    </w:p>
    <w:p>
      <w:r>
        <w:t>If successful registration is achieved, the MS indicates the selected SNPN.</w:t>
      </w:r>
    </w:p>
    <w:p>
      <w:r>
        <w:t xml:space="preserve">If registration cannot be achieved because no SNPNs are available, allowable, and identified by an SNPN identity in an entry of the </w:t>
      </w:r>
      <w:r>
        <w:rPr>
          <w:lang w:eastAsia="ja-JP"/>
        </w:rPr>
        <w:t xml:space="preserve">"list of </w:t>
      </w:r>
      <w:r>
        <w:t xml:space="preserve">subscriber data" in the ME, the MS indicates "no service" to the user, waits until a new SNPN is available, allowable, and identified by an SNPN identity in an entry of the </w:t>
      </w:r>
      <w:r>
        <w:rPr>
          <w:lang w:eastAsia="ja-JP"/>
        </w:rPr>
        <w:t xml:space="preserve">"list of </w:t>
      </w:r>
      <w:r>
        <w:t>subscriber data" in the ME and then repeats the procedure.</w:t>
      </w:r>
    </w:p>
    <w:p>
      <w:r>
        <w:t xml:space="preserve">If there were one or more SNPNs which were available, allowable, and identified by an SNPN identity in an entry of the </w:t>
      </w:r>
      <w:r>
        <w:rPr>
          <w:lang w:eastAsia="ja-JP"/>
        </w:rPr>
        <w:t xml:space="preserve">"list of </w:t>
      </w:r>
      <w:r>
        <w:t>subscriber data" in the ME but an LR failure made registration on those SNPNs unsuccessful, the MS selects one of those SNPNs again and enters a limited service state.</w:t>
      </w:r>
    </w:p>
    <w:p>
      <w:pPr>
        <w:pStyle w:val="8"/>
        <w:rPr>
          <w:lang w:eastAsia="en-US"/>
        </w:rPr>
      </w:pPr>
      <w:r>
        <w:rPr>
          <w:lang w:eastAsia="en-US"/>
        </w:rPr>
        <w:t>6.5.3.5.3</w:t>
      </w:r>
      <w:r>
        <w:rPr>
          <w:lang w:eastAsia="en-US"/>
        </w:rPr>
        <w:tab/>
      </w:r>
      <w:r>
        <w:rPr>
          <w:lang w:eastAsia="en-US"/>
        </w:rPr>
        <w:t>Test description</w:t>
      </w:r>
    </w:p>
    <w:p>
      <w:pPr>
        <w:pStyle w:val="8"/>
        <w:rPr>
          <w:lang w:eastAsia="en-US"/>
        </w:rPr>
      </w:pPr>
      <w:r>
        <w:rPr>
          <w:lang w:eastAsia="en-US"/>
        </w:rPr>
        <w:t>6.5.3.5.3.1</w:t>
      </w:r>
      <w:r>
        <w:rPr>
          <w:lang w:eastAsia="en-US"/>
        </w:rPr>
        <w:tab/>
      </w:r>
      <w:r>
        <w:rPr>
          <w:lang w:eastAsia="en-US"/>
        </w:rPr>
        <w:t>Pre-test conditions</w:t>
      </w:r>
    </w:p>
    <w:p>
      <w:pPr>
        <w:pStyle w:val="8"/>
      </w:pPr>
      <w:r>
        <w:t>System Simulator:</w:t>
      </w:r>
    </w:p>
    <w:p>
      <w:pPr>
        <w:pStyle w:val="108"/>
      </w:pPr>
      <w:r>
        <w:t>-</w:t>
      </w:r>
      <w:r>
        <w:tab/>
      </w:r>
      <w:r>
        <w:t xml:space="preserve">2 SNPN cells NR Cell 1, NR cell 3 are configured broadcasting default SNPN IDs as indicated in TS 38.508-1 [4] Table 4.4.2-4. </w:t>
      </w:r>
    </w:p>
    <w:p>
      <w:pPr>
        <w:pStyle w:val="108"/>
        <w:rPr>
          <w:lang w:eastAsia="en-US"/>
        </w:rPr>
      </w:pPr>
      <w:r>
        <w:t>-</w:t>
      </w:r>
      <w:r>
        <w:tab/>
      </w:r>
      <w:r>
        <w:t>System information combination NR-27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 and NR Cell 3. The</w:t>
      </w:r>
      <w:r>
        <w:t xml:space="preserve"> SNPN identity of Cell 1 contained in the credentials holder controlled prioritized list of preferred SNPNs is higher priority than SNPN identity of Cell 3</w:t>
      </w:r>
      <w:r>
        <w:rPr>
          <w:lang w:eastAsia="en-US"/>
        </w:rPr>
        <w:t xml:space="preserve"> .</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6.5.3.5.3.2</w:t>
      </w:r>
      <w:r>
        <w:tab/>
      </w:r>
      <w:r>
        <w:t xml:space="preserve">Test </w:t>
      </w:r>
      <w:r>
        <w:rPr>
          <w:snapToGrid w:val="0"/>
        </w:rPr>
        <w:t>procedure</w:t>
      </w:r>
      <w:r>
        <w:t xml:space="preserve"> sequence</w:t>
      </w:r>
    </w:p>
    <w:p>
      <w:pPr>
        <w:rPr>
          <w:lang w:eastAsia="en-US"/>
        </w:rPr>
      </w:pPr>
      <w:r>
        <w:rPr>
          <w:lang w:eastAsia="en-US"/>
        </w:rPr>
        <w:t>Table 6.5.3.5.3.2-1</w:t>
      </w:r>
      <w:r>
        <w:rPr>
          <w:lang w:eastAsia="zh-CN"/>
        </w:rPr>
        <w:t>/2</w:t>
      </w:r>
      <w:r>
        <w:rPr>
          <w:lang w:eastAsia="en-US"/>
        </w:rPr>
        <w:t xml:space="preserve"> shows the cell configurations used during the test. Subsequent configurations marked “T1”, “T2”, is applied at the points indicated in the Main behaviour description in Table 6.5.3.5.3.2-3. Cell powers are chosen for a serving cell and a non-suitable “Off” cell as defined in TS 38.508-1 [4] Table 6.2.2.1-3 for FR1 and Table 6.2.2.2-2 for FR2.</w:t>
      </w:r>
    </w:p>
    <w:p>
      <w:pPr>
        <w:pStyle w:val="112"/>
        <w:rPr>
          <w:lang w:eastAsia="zh-CN"/>
        </w:rPr>
      </w:pPr>
      <w:r>
        <w:rPr>
          <w:lang w:eastAsia="en-US"/>
        </w:rPr>
        <w:t>Table 6.5.3.5.3.2-1: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6.5.3.5.3.2-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“Off”</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6.5.3.5.3.2-3: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96"/>
              <w:jc w:val="center"/>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6.5.3.5.3.2-1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w:t>
            </w:r>
          </w:p>
        </w:tc>
        <w:tc>
          <w:tcPr>
            <w:tcW w:w="708" w:type="dxa"/>
            <w:tcBorders>
              <w:top w:val="single" w:color="auto" w:sz="4" w:space="0"/>
              <w:left w:val="single" w:color="auto" w:sz="4" w:space="0"/>
              <w:bottom w:val="single" w:color="auto" w:sz="4" w:space="0"/>
              <w:right w:val="single" w:color="auto" w:sz="4" w:space="0"/>
            </w:tcBorders>
          </w:tcPr>
          <w:p>
            <w:pPr>
              <w:pStyle w:val="96"/>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pPr>
            <w:r>
              <w:t>1</w:t>
            </w:r>
          </w:p>
        </w:tc>
        <w:tc>
          <w:tcPr>
            <w:tcW w:w="850" w:type="dxa"/>
            <w:tcBorders>
              <w:top w:val="single" w:color="auto" w:sz="4" w:space="0"/>
              <w:left w:val="single" w:color="auto" w:sz="4" w:space="0"/>
              <w:bottom w:val="single" w:color="auto" w:sz="4" w:space="0"/>
              <w:right w:val="single" w:color="auto" w:sz="4" w:space="0"/>
            </w:tcBorders>
          </w:tcPr>
          <w:p>
            <w:pPr>
              <w:pStyle w:val="96"/>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rFonts w:hint="default" w:eastAsia="宋体"/>
                <w:lang w:val="en-US" w:eastAsia="zh-CN"/>
              </w:rPr>
            </w:pPr>
            <w:r>
              <w:rPr>
                <w:lang w:eastAsia="en-US"/>
              </w:rPr>
              <w:t>4-21</w:t>
            </w:r>
            <w:ins w:id="24" w:author="Xu Jiali, ZTE" w:date="2024-10-29T10:00:23Z">
              <w:r>
                <w:rPr>
                  <w:rFonts w:hint="eastAsia" w:eastAsia="宋体"/>
                  <w:lang w:val="en-US" w:eastAsia="zh-CN"/>
                </w:rPr>
                <w:t>a</w:t>
              </w:r>
            </w:ins>
            <w:ins w:id="25" w:author="Xu Jiali, ZTE" w:date="2024-10-29T10:00:24Z">
              <w:r>
                <w:rPr>
                  <w:rFonts w:hint="eastAsia" w:eastAsia="宋体"/>
                  <w:lang w:val="en-US" w:eastAsia="zh-CN"/>
                </w:rPr>
                <w:t>1</w:t>
              </w:r>
            </w:ins>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Steps 3 to 20a1 </w:t>
            </w:r>
            <w:r>
              <w:rPr>
                <w:rFonts w:cs="Arial"/>
                <w:szCs w:val="18"/>
                <w:lang w:eastAsia="en-US"/>
              </w:rPr>
              <w:t xml:space="preserve">of Table 4.5.2.2-2 of the generic procedure </w:t>
            </w:r>
            <w:r>
              <w:rPr>
                <w:lang w:eastAsia="en-US"/>
              </w:rPr>
              <w:t>in TS 38.508-1 [4]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2 </w:t>
            </w:r>
            <w:r>
              <w:rPr>
                <w:lang w:eastAsia="en-US"/>
              </w:rPr>
              <w:t>of table 6.5.3.5.3.2-1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i/>
              </w:rP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2</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24-27a1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3 to 6a1 of the generic test procedure in TS 38.508-1</w:t>
            </w:r>
            <w:ins w:id="26" w:author="Xu Jiali, ZTE" w:date="2024-10-29T10:00:29Z">
              <w:r>
                <w:rPr>
                  <w:rFonts w:hint="eastAsia" w:eastAsia="宋体"/>
                  <w:lang w:val="en-US" w:eastAsia="zh-CN"/>
                </w:rPr>
                <w:t xml:space="preserve"> [4]</w:t>
              </w:r>
            </w:ins>
            <w:r>
              <w:t xml:space="preserve"> Table 4.9.5.2.2-1 are performed on NR Cell 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i/>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bl>
    <w:p>
      <w:pPr>
        <w:rPr>
          <w:snapToGrid w:val="0"/>
        </w:rPr>
      </w:pPr>
    </w:p>
    <w:p>
      <w:pPr>
        <w:pStyle w:val="8"/>
        <w:rPr>
          <w:snapToGrid w:val="0"/>
        </w:rPr>
      </w:pPr>
      <w:r>
        <w:rPr>
          <w:snapToGrid w:val="0"/>
        </w:rPr>
        <w:t>6.5.3.5.3.3</w:t>
      </w:r>
      <w:r>
        <w:rPr>
          <w:snapToGrid w:val="0"/>
        </w:rPr>
        <w:tab/>
      </w:r>
      <w:r>
        <w:rPr>
          <w:snapToGrid w:val="0"/>
        </w:rPr>
        <w:t>Specific message contents</w:t>
      </w:r>
    </w:p>
    <w:p>
      <w:r>
        <w:t>None</w:t>
      </w:r>
    </w:p>
    <w:p>
      <w:pPr>
        <w:pStyle w:val="5"/>
      </w:pPr>
      <w:r>
        <w:t>6.5.3.7</w:t>
      </w:r>
      <w:r>
        <w:tab/>
      </w:r>
      <w:r>
        <w:t>SNPN / User Reselection in Automatic Mode / Using credentials from a credentials holder</w:t>
      </w:r>
    </w:p>
    <w:p>
      <w:pPr>
        <w:pStyle w:val="8"/>
      </w:pPr>
      <w:r>
        <w:t>6.5.3.7.1</w:t>
      </w:r>
      <w:r>
        <w:tab/>
      </w:r>
      <w:r>
        <w:t>Test Purpose (TP)</w:t>
      </w:r>
    </w:p>
    <w:p>
      <w:pPr>
        <w:pStyle w:val="8"/>
      </w:pPr>
      <w:r>
        <w:t>(1)</w:t>
      </w:r>
    </w:p>
    <w:p>
      <w:pPr>
        <w:pStyle w:val="93"/>
      </w:pPr>
      <w:r>
        <w:rPr>
          <w:b/>
          <w:bCs/>
        </w:rPr>
        <w:t xml:space="preserve">with </w:t>
      </w:r>
      <w:r>
        <w:t>{ UE in Automatic SNPN selection mode and registered on an SNPN cell and supports access to an SNPN using credentials from a credentials holder, using the SNPN selection parameters in the selected entry of the "list of subscriber data" or associated with the selected PLMN subscription }</w:t>
      </w:r>
    </w:p>
    <w:p>
      <w:pPr>
        <w:pStyle w:val="93"/>
        <w:rPr>
          <w:b/>
          <w:bCs/>
        </w:rPr>
      </w:pPr>
      <w:r>
        <w:rPr>
          <w:b/>
          <w:bCs/>
        </w:rPr>
        <w:t xml:space="preserve">ensure that </w:t>
      </w:r>
      <w:r>
        <w:t>{</w:t>
      </w:r>
    </w:p>
    <w:p>
      <w:pPr>
        <w:pStyle w:val="93"/>
        <w:rPr>
          <w:b/>
          <w:bCs/>
        </w:rPr>
      </w:pPr>
      <w:r>
        <w:rPr>
          <w:b/>
          <w:bCs/>
        </w:rPr>
        <w:t xml:space="preserve">  when </w:t>
      </w:r>
      <w:r>
        <w:t>{ another SNPN is available supporting access using credentials from a credentials holder or allow registration attempts from MSs that are not explicitly configured to select the SNPN and UE is requested to initiate reselection and registration onto an available SNPN }</w:t>
      </w:r>
    </w:p>
    <w:p>
      <w:pPr>
        <w:pStyle w:val="93"/>
        <w:rPr>
          <w:b/>
          <w:bCs/>
        </w:rPr>
      </w:pPr>
      <w:r>
        <w:rPr>
          <w:b/>
          <w:bCs/>
        </w:rPr>
        <w:t xml:space="preserve">    then </w:t>
      </w:r>
      <w:r>
        <w:t>{ UE reselects the SNPN cell }</w:t>
      </w:r>
    </w:p>
    <w:p>
      <w:pPr>
        <w:pStyle w:val="93"/>
      </w:pPr>
      <w:r>
        <w:t xml:space="preserve">                      }</w:t>
      </w:r>
    </w:p>
    <w:p>
      <w:pPr>
        <w:pStyle w:val="93"/>
        <w:rPr>
          <w:rFonts w:eastAsia="MS Gothic"/>
        </w:rPr>
      </w:pPr>
    </w:p>
    <w:p>
      <w:pPr>
        <w:pStyle w:val="8"/>
      </w:pPr>
      <w:r>
        <w:t>6.5.3.7.2</w:t>
      </w:r>
      <w:r>
        <w:tab/>
      </w:r>
      <w:r>
        <w:t>Conformance requirements</w:t>
      </w:r>
    </w:p>
    <w:p>
      <w:pPr>
        <w:overflowPunct/>
        <w:autoSpaceDE/>
        <w:adjustRightInd/>
        <w:rPr>
          <w:lang w:eastAsia="en-US"/>
        </w:rPr>
      </w:pPr>
      <w:r>
        <w:rPr>
          <w:lang w:eastAsia="en-US"/>
        </w:rPr>
        <w:t>References: The conformance requirements covered in the current TC are specified in: TS 23.122, cl 4.9.3.2.1. Unless otherwise stated these are Rel-17 requirements.</w:t>
      </w:r>
    </w:p>
    <w:p>
      <w:pPr>
        <w:overflowPunct/>
        <w:autoSpaceDE/>
        <w:adjustRightInd/>
        <w:rPr>
          <w:lang w:eastAsia="en-US"/>
        </w:rPr>
      </w:pPr>
      <w:r>
        <w:rPr>
          <w:lang w:eastAsia="en-US"/>
        </w:rPr>
        <w:t>[TS 23.122, clause 4.9.3.2.1]</w:t>
      </w:r>
    </w:p>
    <w:p>
      <w:r>
        <w:t>If:</w:t>
      </w:r>
    </w:p>
    <w:p>
      <w:pPr>
        <w:pStyle w:val="108"/>
      </w:pPr>
      <w:r>
        <w:t>-</w:t>
      </w:r>
      <w:r>
        <w:tab/>
      </w:r>
      <w:r>
        <w:t xml:space="preserve">there is at least one entry in the </w:t>
      </w:r>
      <w:r>
        <w:rPr>
          <w:lang w:eastAsia="ja-JP"/>
        </w:rPr>
        <w:t xml:space="preserve">"list of </w:t>
      </w:r>
      <w:r>
        <w:t>subscriber data"; or</w:t>
      </w:r>
    </w:p>
    <w:p>
      <w:pPr>
        <w:pStyle w:val="108"/>
      </w:pPr>
      <w:r>
        <w:t>-</w:t>
      </w:r>
      <w:r>
        <w:tab/>
      </w:r>
      <w:r>
        <w:t xml:space="preserve">there is zero or more entries in the </w:t>
      </w:r>
      <w:r>
        <w:rPr>
          <w:lang w:eastAsia="ja-JP"/>
        </w:rPr>
        <w:t xml:space="preserve">"list of </w:t>
      </w:r>
      <w:r>
        <w:t>subscriber data", the MS has a USIM with a PLMN subscription and the ME is provisioned with the SNPN selection parameters associated with the PLMN subscription,</w:t>
      </w:r>
    </w:p>
    <w:p>
      <w:r>
        <w:t xml:space="preserve">the MS shall select one entry in the </w:t>
      </w:r>
      <w:r>
        <w:rPr>
          <w:lang w:eastAsia="ja-JP"/>
        </w:rPr>
        <w:t xml:space="preserve">"list of </w:t>
      </w:r>
      <w:r>
        <w:t xml:space="preserve">subscriber data", or the PLMN subscription, if any, to be used for automatic SNPN selection. How the MS selects the entry in the </w:t>
      </w:r>
      <w:r>
        <w:rPr>
          <w:lang w:eastAsia="ja-JP"/>
        </w:rPr>
        <w:t xml:space="preserve">"list of </w:t>
      </w:r>
      <w:r>
        <w:t>subscriber data" or the PLMN subscription is MS implementation specific.</w:t>
      </w:r>
    </w:p>
    <w:p>
      <w:r>
        <w:t>The MS selects an SNPNs, if available and allowable, in accordance with the following order:</w:t>
      </w:r>
    </w:p>
    <w:p>
      <w:pPr>
        <w:pStyle w:val="108"/>
      </w:pPr>
      <w:r>
        <w:t>a)</w:t>
      </w:r>
      <w:r>
        <w:tab/>
      </w:r>
      <w:r>
        <w:t xml:space="preserve">the SNPN identified by an SNPN identity of the subscribed SNPN in the selected entry of the </w:t>
      </w:r>
      <w:r>
        <w:rPr>
          <w:lang w:eastAsia="ja-JP"/>
        </w:rPr>
        <w:t xml:space="preserve">"list of </w:t>
      </w:r>
      <w:r>
        <w:t>subscriber data" in the ME, if any, excluding the previously selected SNPN;</w:t>
      </w:r>
    </w:p>
    <w:p>
      <w:pPr>
        <w:pStyle w:val="108"/>
      </w:pPr>
      <w:r>
        <w:t>b)</w:t>
      </w:r>
      <w:r>
        <w:tab/>
      </w:r>
      <w:r>
        <w:t xml:space="preserve">if the MS supports access to an SNPN using credentials from a credentials holder, using the SNPN selection parameters in the selected entry of the </w:t>
      </w:r>
      <w:r>
        <w:rPr>
          <w:lang w:eastAsia="ja-JP"/>
        </w:rPr>
        <w:t xml:space="preserve">"list of </w:t>
      </w:r>
      <w:r>
        <w:t>subscriber data" or associated with the selected PLMN subscription:</w:t>
      </w:r>
    </w:p>
    <w:p>
      <w:pPr>
        <w:pStyle w:val="122"/>
      </w:pPr>
      <w:r>
        <w:t>1)</w:t>
      </w:r>
      <w:r>
        <w:tab/>
      </w:r>
      <w:r>
        <w:t>each SNPN which broadcasts the indication that access using credentials from a credentials holder is supported and which is identified by an SNPN identity contained in the user controlled prioritized list of preferred SNPNs (in priority order), excluding the previously selected SNPN;</w:t>
      </w:r>
    </w:p>
    <w:p>
      <w:pPr>
        <w:pStyle w:val="122"/>
      </w:pPr>
      <w:r>
        <w:t>2)</w:t>
      </w:r>
      <w:r>
        <w:tab/>
      </w:r>
      <w:r>
        <w:t>each SNPN which broadcasts the indication that access using credentials from a credentials holder is supported and which is identified by an SNPN identity contained in the credentials holder controlled prioritized list of preferred SNPNs (in priority order), excluding the previously selected SNPN;</w:t>
      </w:r>
    </w:p>
    <w:p>
      <w:pPr>
        <w:pStyle w:val="122"/>
      </w:pPr>
      <w:r>
        <w:t>3)</w:t>
      </w:r>
      <w:r>
        <w:tab/>
      </w:r>
      <w:r>
        <w:t>each SNPN which broadcasts the indication that access using credentials from a credentials holder is supported and which broadcast a GIN contained in the credentials holder controlled prioritized list of GINs (in priority order), excluding the previously selected SNPN. If more than one such SNPN broadcast the same GIN, the order in which the MS attempts registration on those SNPNs is MS implementation specific; and</w:t>
      </w:r>
    </w:p>
    <w:p>
      <w:pPr>
        <w:pStyle w:val="122"/>
      </w:pPr>
      <w:r>
        <w:t>4)</w:t>
      </w:r>
      <w:r>
        <w:tab/>
      </w:r>
      <w:r>
        <w:t>each SNPN identified by an SNPN identity which is included neither in the SNPN selection parameters of the entries of the "list of subscriber data" nor in the SNPN selection parameters associated with the PLMN subscription and which broadcasts an indication that the SNPN allows registration attempts from MSs that are not explicitly configured to select the SNPN, excluding the previously selected SNPN. If more than one such SNPN is available, the order in which the MS attempts registration on those SNPNs is MS implementation specific.</w:t>
      </w:r>
    </w:p>
    <w:p>
      <w:pPr>
        <w:pStyle w:val="108"/>
      </w:pPr>
      <w:r>
        <w:t>c)</w:t>
      </w:r>
      <w:r>
        <w:tab/>
      </w:r>
      <w:r>
        <w:t>the previously selected SNPN.</w:t>
      </w:r>
    </w:p>
    <w:p>
      <w:r>
        <w:t>The MS shall limit its search for the SNPN to the NG-RAN access technology.</w:t>
      </w:r>
    </w:p>
    <w:p>
      <w:r>
        <w:t>The previously selected SNPN is the SNPN which the MS has selected prior to the start of the user reselection procedure.</w:t>
      </w:r>
    </w:p>
    <w:p>
      <w:r>
        <w:t xml:space="preserve">Once the MS selects an SNPN, if the selected SNPN is other than the previously selected SNPN, the MS attempts registrations on the selected SNPN using the NG-RAN access technology, the subscriber identifier and the credentials from the selected entry of the </w:t>
      </w:r>
      <w:r>
        <w:rPr>
          <w:lang w:eastAsia="ja-JP"/>
        </w:rPr>
        <w:t xml:space="preserve">"list of </w:t>
      </w:r>
      <w:r>
        <w:t>subscriber data" or from the USIM, if the PLMN subscription is selected.</w:t>
      </w:r>
    </w:p>
    <w:p>
      <w:pPr>
        <w:pStyle w:val="91"/>
      </w:pPr>
      <w:r>
        <w:t>NOTE:</w:t>
      </w:r>
      <w:r>
        <w:tab/>
      </w:r>
      <w:r>
        <w:t>If the previously selected SNPN is selected, and registration has not been attempted on any other SNPNs, then the MS is already registered on the SNPN, and so registration is not necessary.</w:t>
      </w:r>
    </w:p>
    <w:p>
      <w:pPr>
        <w:pStyle w:val="8"/>
        <w:rPr>
          <w:lang w:eastAsia="en-US"/>
        </w:rPr>
      </w:pPr>
      <w:r>
        <w:rPr>
          <w:lang w:eastAsia="en-US"/>
        </w:rPr>
        <w:t>6.5.3.7.3</w:t>
      </w:r>
      <w:r>
        <w:rPr>
          <w:lang w:eastAsia="en-US"/>
        </w:rPr>
        <w:tab/>
      </w:r>
      <w:r>
        <w:rPr>
          <w:lang w:eastAsia="en-US"/>
        </w:rPr>
        <w:t>Test description</w:t>
      </w:r>
    </w:p>
    <w:p>
      <w:pPr>
        <w:pStyle w:val="8"/>
        <w:rPr>
          <w:lang w:eastAsia="en-US"/>
        </w:rPr>
      </w:pPr>
      <w:r>
        <w:rPr>
          <w:lang w:eastAsia="en-US"/>
        </w:rPr>
        <w:t>6.5.3.7.3.1</w:t>
      </w:r>
      <w:r>
        <w:rPr>
          <w:lang w:eastAsia="en-US"/>
        </w:rPr>
        <w:tab/>
      </w:r>
      <w:r>
        <w:rPr>
          <w:lang w:eastAsia="en-US"/>
        </w:rPr>
        <w:t>Pre-test conditions</w:t>
      </w:r>
    </w:p>
    <w:p>
      <w:pPr>
        <w:pStyle w:val="8"/>
      </w:pPr>
      <w:r>
        <w:t>System Simulator:</w:t>
      </w:r>
    </w:p>
    <w:p>
      <w:pPr>
        <w:pStyle w:val="108"/>
      </w:pPr>
      <w:r>
        <w:t>-</w:t>
      </w:r>
      <w:r>
        <w:tab/>
      </w:r>
      <w:r>
        <w:t xml:space="preserve">2 SNPN cells NR Cell 1, NR cell 3 are configured broadcasting default SNPN IDs as indicated in TS 38.508-1 [4] Table 4.4.2-4. </w:t>
      </w:r>
    </w:p>
    <w:p>
      <w:pPr>
        <w:pStyle w:val="108"/>
        <w:rPr>
          <w:lang w:eastAsia="en-US"/>
        </w:rPr>
      </w:pPr>
      <w:r>
        <w:t>-</w:t>
      </w:r>
      <w:r>
        <w:tab/>
      </w:r>
      <w:r>
        <w:t>System information combination NR-27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6.5.3.7.3.2</w:t>
      </w:r>
      <w:r>
        <w:tab/>
      </w:r>
      <w:r>
        <w:t xml:space="preserve">Test </w:t>
      </w:r>
      <w:r>
        <w:rPr>
          <w:snapToGrid w:val="0"/>
        </w:rPr>
        <w:t>procedure</w:t>
      </w:r>
      <w:r>
        <w:t xml:space="preserve"> sequence</w:t>
      </w:r>
    </w:p>
    <w:p>
      <w:pPr>
        <w:rPr>
          <w:lang w:eastAsia="en-US"/>
        </w:rPr>
      </w:pPr>
      <w:r>
        <w:rPr>
          <w:lang w:eastAsia="en-US"/>
        </w:rPr>
        <w:t>Table 6.5.3.7.3.2-1</w:t>
      </w:r>
      <w:r>
        <w:rPr>
          <w:lang w:eastAsia="zh-CN"/>
        </w:rPr>
        <w:t>/2</w:t>
      </w:r>
      <w:r>
        <w:rPr>
          <w:lang w:eastAsia="en-US"/>
        </w:rPr>
        <w:t xml:space="preserve"> shows the cell configurations used during the test. Subsequent configurations marked “T1” &amp; “T2”, is applied at the points indicated in the Main behaviour description in Table 6.5.3.7.3.2-3. Cell powers are chosen for a serving cell and a non-suitable “Off” cell as defined in TS 38.508-1 [4] Table 6.2.2.1-3 for FR1 and Table 6.2.2.2-2 for FR2.</w:t>
      </w:r>
    </w:p>
    <w:p>
      <w:pPr>
        <w:pStyle w:val="112"/>
        <w:rPr>
          <w:lang w:eastAsia="zh-CN"/>
        </w:rPr>
      </w:pPr>
      <w:r>
        <w:rPr>
          <w:lang w:eastAsia="en-US"/>
        </w:rPr>
        <w:t>Table 6.5.3.7.3.2-1: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6.5.3.7.3.2-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6.5.3.7.3.2-3: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96"/>
              <w:jc w:val="center"/>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6.5.3.7.3.2-1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sends a </w:t>
            </w:r>
            <w:r>
              <w:rPr>
                <w:i/>
              </w:rPr>
              <w:t>RRCSetupRequest</w:t>
            </w:r>
            <w:r>
              <w:t xml:space="preserve"> on NR Cell 1.</w:t>
            </w:r>
          </w:p>
        </w:tc>
        <w:tc>
          <w:tcPr>
            <w:tcW w:w="708" w:type="dxa"/>
            <w:tcBorders>
              <w:top w:val="single" w:color="auto" w:sz="4" w:space="0"/>
              <w:left w:val="single" w:color="auto" w:sz="4" w:space="0"/>
              <w:bottom w:val="single" w:color="auto" w:sz="4" w:space="0"/>
              <w:right w:val="single" w:color="auto" w:sz="4" w:space="0"/>
            </w:tcBorders>
          </w:tcPr>
          <w:p>
            <w:pPr>
              <w:pStyle w:val="96"/>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rFonts w:hint="default" w:eastAsia="宋体"/>
                <w:lang w:val="en-US" w:eastAsia="zh-CN"/>
              </w:rPr>
            </w:pPr>
            <w:r>
              <w:rPr>
                <w:lang w:eastAsia="en-US"/>
              </w:rPr>
              <w:t>4-21</w:t>
            </w:r>
            <w:ins w:id="27" w:author="Xu Jiali, ZTE" w:date="2024-10-29T10:01:47Z">
              <w:r>
                <w:rPr>
                  <w:rFonts w:hint="eastAsia" w:eastAsia="宋体"/>
                  <w:lang w:val="en-US" w:eastAsia="zh-CN"/>
                </w:rPr>
                <w:t>a</w:t>
              </w:r>
            </w:ins>
            <w:ins w:id="28" w:author="Xu Jiali, ZTE" w:date="2024-10-29T10:01:48Z">
              <w:r>
                <w:rPr>
                  <w:rFonts w:hint="eastAsia" w:eastAsia="宋体"/>
                  <w:lang w:val="en-US" w:eastAsia="zh-CN"/>
                </w:rPr>
                <w:t>1</w:t>
              </w:r>
            </w:ins>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Steps 3 to 20a1 </w:t>
            </w:r>
            <w:r>
              <w:rPr>
                <w:rFonts w:cs="Arial"/>
                <w:szCs w:val="18"/>
                <w:lang w:eastAsia="en-US"/>
              </w:rPr>
              <w:t xml:space="preserve">of Table 4.5.2.2-2 of the generic procedure </w:t>
            </w:r>
            <w:r>
              <w:rPr>
                <w:lang w:eastAsia="en-US"/>
              </w:rPr>
              <w:t>in TS 38.508-1 [4]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2 </w:t>
            </w:r>
            <w:r>
              <w:rPr>
                <w:lang w:eastAsia="en-US"/>
              </w:rPr>
              <w:t>of table 6.5.3.7.3.2-1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in Automatic network selection mode to initiate user reselection and registration onto an available SNPN identified by NR cell 3.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25-42a1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Steps 3 to 20a1 </w:t>
            </w:r>
            <w:r>
              <w:rPr>
                <w:rFonts w:cs="Arial"/>
                <w:szCs w:val="18"/>
                <w:lang w:eastAsia="en-US"/>
              </w:rPr>
              <w:t xml:space="preserve">of Table 4.5.2.2-2 of the generic procedure </w:t>
            </w:r>
            <w:r>
              <w:rPr>
                <w:lang w:eastAsia="en-US"/>
              </w:rPr>
              <w:t>in TS 38.508-1 [4]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tc>
      </w:tr>
    </w:tbl>
    <w:p>
      <w:pPr>
        <w:rPr>
          <w:snapToGrid w:val="0"/>
          <w:lang w:eastAsia="en-US"/>
        </w:rPr>
      </w:pPr>
    </w:p>
    <w:p>
      <w:pPr>
        <w:pStyle w:val="8"/>
        <w:rPr>
          <w:snapToGrid w:val="0"/>
        </w:rPr>
      </w:pPr>
      <w:r>
        <w:rPr>
          <w:snapToGrid w:val="0"/>
        </w:rPr>
        <w:t>6.5.3.7.3.3</w:t>
      </w:r>
      <w:r>
        <w:rPr>
          <w:snapToGrid w:val="0"/>
        </w:rPr>
        <w:tab/>
      </w:r>
      <w:r>
        <w:rPr>
          <w:snapToGrid w:val="0"/>
        </w:rPr>
        <w:t>Specific message contents</w:t>
      </w:r>
    </w:p>
    <w:p>
      <w:r>
        <w:t>None</w:t>
      </w:r>
    </w:p>
    <w:bookmarkEnd w:id="0"/>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2526828"/>
    <w:rsid w:val="03F25DCC"/>
    <w:rsid w:val="06657CF6"/>
    <w:rsid w:val="09AE2470"/>
    <w:rsid w:val="0B7205B8"/>
    <w:rsid w:val="0C482D54"/>
    <w:rsid w:val="0DDA01C3"/>
    <w:rsid w:val="0FE04B89"/>
    <w:rsid w:val="10E127B0"/>
    <w:rsid w:val="111118D4"/>
    <w:rsid w:val="13344BF5"/>
    <w:rsid w:val="14494355"/>
    <w:rsid w:val="1753361B"/>
    <w:rsid w:val="1C0F4910"/>
    <w:rsid w:val="1D5F35D3"/>
    <w:rsid w:val="1EBD658F"/>
    <w:rsid w:val="203413CD"/>
    <w:rsid w:val="222B0614"/>
    <w:rsid w:val="232C3F1D"/>
    <w:rsid w:val="28AB0D13"/>
    <w:rsid w:val="299F427B"/>
    <w:rsid w:val="2AFB01D3"/>
    <w:rsid w:val="2B854138"/>
    <w:rsid w:val="2F817E6B"/>
    <w:rsid w:val="39B82224"/>
    <w:rsid w:val="39FA7411"/>
    <w:rsid w:val="41A6695F"/>
    <w:rsid w:val="43D46DF4"/>
    <w:rsid w:val="442D4F96"/>
    <w:rsid w:val="48BE780B"/>
    <w:rsid w:val="4B0C63A0"/>
    <w:rsid w:val="54C45F7D"/>
    <w:rsid w:val="54D20703"/>
    <w:rsid w:val="56A41633"/>
    <w:rsid w:val="5A781829"/>
    <w:rsid w:val="5B806E8B"/>
    <w:rsid w:val="5D9D1E52"/>
    <w:rsid w:val="5DB83B00"/>
    <w:rsid w:val="5F854729"/>
    <w:rsid w:val="5FB44CAF"/>
    <w:rsid w:val="60787904"/>
    <w:rsid w:val="68FE41B6"/>
    <w:rsid w:val="6910675C"/>
    <w:rsid w:val="6B504A37"/>
    <w:rsid w:val="6C4A7648"/>
    <w:rsid w:val="6F4C29A7"/>
    <w:rsid w:val="712A2F9D"/>
    <w:rsid w:val="72D118D4"/>
    <w:rsid w:val="732B6AEA"/>
    <w:rsid w:val="755D199D"/>
    <w:rsid w:val="765743D7"/>
    <w:rsid w:val="76956592"/>
    <w:rsid w:val="7A4715C9"/>
    <w:rsid w:val="7C524258"/>
    <w:rsid w:val="7CBE0701"/>
    <w:rsid w:val="7D3614E3"/>
    <w:rsid w:val="7F270E2A"/>
    <w:rsid w:val="7F7B492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0</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2024-11-08T01:53:24Z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B749B795B9F04370ABF47296A9E4802C</vt:lpwstr>
  </property>
</Properties>
</file>